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0" w:after="200"/>
        <w:rPr/>
      </w:pPr>
      <w:r>
        <w:rPr/>
        <w:t>S</w:t>
      </w:r>
      <w:r>
        <w:rPr/>
        <w:t>martPhantom</w:t>
      </w:r>
      <w:r>
        <w:rPr/>
        <w:t xml:space="preserve"> </w:t>
      </w:r>
      <w:r>
        <w:rPr/>
        <w:t xml:space="preserve">(Single Fibre) </w:t>
      </w:r>
      <w:r>
        <w:rPr/>
        <w:t>Radiation Work Protocol</w:t>
      </w:r>
    </w:p>
    <w:p>
      <w:pPr>
        <w:pStyle w:val="Normal"/>
        <w:spacing w:before="0" w:after="0"/>
        <w:rPr/>
      </w:pPr>
      <w:r>
        <w:rPr/>
      </w:r>
    </w:p>
    <w:p>
      <w:pPr>
        <w:pStyle w:val="Normal"/>
        <w:rPr/>
      </w:pPr>
      <w:r>
        <w:rPr/>
        <w:t xml:space="preserve">This work protocol covers the procedures for </w:t>
      </w:r>
      <w:r>
        <w:rPr/>
        <w:t xml:space="preserve">the </w:t>
      </w:r>
      <w:r>
        <w:rPr/>
        <w:t xml:space="preserve">measurement </w:t>
      </w:r>
      <w:r>
        <w:rPr/>
        <w:t xml:space="preserve">of a signal </w:t>
      </w:r>
      <w:r>
        <w:rPr/>
        <w:t xml:space="preserve">of </w:t>
      </w:r>
      <w:r>
        <w:rPr/>
        <w:t>a single scintillating fibre</w:t>
      </w:r>
      <w:r>
        <w:rPr/>
        <w:t xml:space="preserve"> which consists of: installation of the sealed source; performing the characterisation measurements with the source; and decommissioning of the source.  A 1.7MBq Sr</w:t>
      </w:r>
      <w:r>
        <w:rPr>
          <w:vertAlign w:val="superscript"/>
        </w:rPr>
        <w:t>90</w:t>
      </w:r>
      <w:r>
        <w:rPr/>
        <w:t xml:space="preserve"> beta-emitter will be attached to a motorised translation stage using a </w:t>
      </w:r>
      <w:r>
        <w:rPr/>
        <w:t xml:space="preserve">boxed </w:t>
      </w:r>
      <w:r>
        <w:rPr/>
        <w:t xml:space="preserve"> source holder. The stage will be used to </w:t>
      </w:r>
      <w:r>
        <w:rPr/>
        <w:t>move the source such that a signal on the single fibre can be detected</w:t>
      </w:r>
      <w:r>
        <w:rPr/>
        <w:t xml:space="preserve">. The experiment will take place within a light-tight box that is fixed to an optical table with a lid that is secured (by padlock) to the body of the box.  The home position of the translation stage will place the open end of the source in front of an aluminium block that will effectively close off the source. Nitrile gloves must always be used when handling the source. Monitoring of the source, equipment and environment will be done using a Mini 900/44B and records of these measurements will be attached to the light-tight box alongside a copy of this protocol. When the source is installed signage will be posted on all sides of the box stating “This box contains a radioactive source. Do not open, move or dismantle without contacting </w:t>
      </w:r>
      <w:r>
        <w:rPr/>
        <w:t>HT Lau on ext 40905</w:t>
      </w:r>
      <w:r>
        <w:rPr/>
        <w:t xml:space="preserve"> or Ken Long on ext 47812 first.”.  The RPS must be informed prior to any relocation of the light-tight box whilst the source is installed and the source must be decommissioned before dismantling the experiment. </w:t>
      </w:r>
    </w:p>
    <w:p>
      <w:pPr>
        <w:pStyle w:val="Heading2"/>
        <w:rPr/>
      </w:pPr>
      <w:r>
        <w:rPr/>
        <w:t>Installation of the source</w:t>
      </w:r>
    </w:p>
    <w:p>
      <w:pPr>
        <w:pStyle w:val="ListParagraph"/>
        <w:numPr>
          <w:ilvl w:val="0"/>
          <w:numId w:val="1"/>
        </w:numPr>
        <w:rPr/>
      </w:pPr>
      <w:r>
        <w:rPr/>
        <w:t>The Sr</w:t>
      </w:r>
      <w:r>
        <w:rPr>
          <w:vertAlign w:val="superscript"/>
        </w:rPr>
        <w:t>90</w:t>
      </w:r>
      <w:r>
        <w:rPr/>
        <w:t xml:space="preserve"> source should be transported in a sealed box from its safe to room 527 in the Blackett Lab escorted by the RPS. The box must always remain sealed during transport.</w:t>
      </w:r>
    </w:p>
    <w:p>
      <w:pPr>
        <w:pStyle w:val="ListParagraph"/>
        <w:numPr>
          <w:ilvl w:val="0"/>
          <w:numId w:val="1"/>
        </w:numPr>
        <w:rPr/>
      </w:pPr>
      <w:r>
        <w:rPr/>
        <w:t>Place the sealed box next to the light-tight box.</w:t>
      </w:r>
    </w:p>
    <w:p>
      <w:pPr>
        <w:pStyle w:val="ListParagraph"/>
        <w:numPr>
          <w:ilvl w:val="0"/>
          <w:numId w:val="1"/>
        </w:numPr>
        <w:rPr/>
      </w:pPr>
      <w:r>
        <w:rPr/>
        <w:t>Check background radiation around the optical table, within the light-tight box and around the sealed box. Record the readings.</w:t>
      </w:r>
    </w:p>
    <w:p>
      <w:pPr>
        <w:pStyle w:val="ListParagraph"/>
        <w:numPr>
          <w:ilvl w:val="0"/>
          <w:numId w:val="1"/>
        </w:numPr>
        <w:rPr/>
      </w:pPr>
      <w:r>
        <w:rPr/>
        <w:t>Remove the source from the box by holding it at the lipped end and place it on the bench, ensuring the other end (the face with the source opening) is always pointing downwards. Leaving the source on the bench, inspect the source to make sure the housing is sound.</w:t>
      </w:r>
    </w:p>
    <w:p>
      <w:pPr>
        <w:pStyle w:val="ListParagraph"/>
        <w:numPr>
          <w:ilvl w:val="0"/>
          <w:numId w:val="1"/>
        </w:numPr>
        <w:rPr/>
      </w:pPr>
      <w:r>
        <w:rPr/>
        <w:t>Using the contamination monitor, check around the source and record the readings.</w:t>
      </w:r>
    </w:p>
    <w:p>
      <w:pPr>
        <w:pStyle w:val="ListParagraph"/>
        <w:numPr>
          <w:ilvl w:val="0"/>
          <w:numId w:val="1"/>
        </w:numPr>
        <w:rPr/>
      </w:pPr>
      <w:r>
        <w:rPr/>
        <w:t>Place the source on top of the source holder already attached to the translation stage, ensuring the opening of the source always points away from the user during the procedure. Secure the lid of the source holder which is secured in place by two screws.</w:t>
      </w:r>
    </w:p>
    <w:p>
      <w:pPr>
        <w:pStyle w:val="ListParagraph"/>
        <w:numPr>
          <w:ilvl w:val="0"/>
          <w:numId w:val="1"/>
        </w:numPr>
        <w:rPr/>
      </w:pPr>
      <w:r>
        <w:rPr/>
        <w:t>Move the translation stage</w:t>
      </w:r>
      <w:r>
        <w:rPr/>
        <w:t>s</w:t>
      </w:r>
      <w:r>
        <w:rPr/>
        <w:t xml:space="preserve"> to the home position.</w:t>
      </w:r>
    </w:p>
    <w:p>
      <w:pPr>
        <w:pStyle w:val="ListParagraph"/>
        <w:numPr>
          <w:ilvl w:val="0"/>
          <w:numId w:val="1"/>
        </w:numPr>
        <w:rPr/>
      </w:pPr>
      <w:r>
        <w:rPr/>
        <w:t>Survey the radiation around the source. Record the readings.</w:t>
      </w:r>
    </w:p>
    <w:p>
      <w:pPr>
        <w:pStyle w:val="ListParagraph"/>
        <w:numPr>
          <w:ilvl w:val="0"/>
          <w:numId w:val="1"/>
        </w:numPr>
        <w:rPr/>
      </w:pPr>
      <w:r>
        <w:rPr/>
        <w:t>S</w:t>
      </w:r>
      <w:r>
        <w:rPr/>
        <w:t>eal the lid of light-tight box.</w:t>
      </w:r>
    </w:p>
    <w:p>
      <w:pPr>
        <w:pStyle w:val="ListParagraph"/>
        <w:numPr>
          <w:ilvl w:val="0"/>
          <w:numId w:val="1"/>
        </w:numPr>
        <w:rPr/>
      </w:pPr>
      <w:r>
        <w:rPr/>
        <w:t>Survey the radiation around the light-tight box. Record the readings.</w:t>
      </w:r>
    </w:p>
    <w:p>
      <w:pPr>
        <w:pStyle w:val="ListParagraph"/>
        <w:numPr>
          <w:ilvl w:val="0"/>
          <w:numId w:val="1"/>
        </w:numPr>
        <w:rPr/>
      </w:pPr>
      <w:r>
        <w:rPr/>
        <w:t>Take a copy of the readings and place original record in the sleeve attached to the light-tight box.</w:t>
      </w:r>
    </w:p>
    <w:p>
      <w:pPr>
        <w:pStyle w:val="Heading2"/>
        <w:rPr/>
      </w:pPr>
      <w:r>
        <w:rPr/>
        <w:t>Detector Characterisation Measurements</w:t>
      </w:r>
    </w:p>
    <w:p>
      <w:pPr>
        <w:pStyle w:val="Normal"/>
        <w:rPr/>
      </w:pPr>
      <w:r>
        <w:rPr/>
        <w:t xml:space="preserve">The operation of the experiment is done remotely with the source inside the light-tight box. The walls and lid of the light-tight box is made of 5mm thick aluminium. Thus emissions from the source (and secondaries) should be contained within the light-tight box.  In the event of an equipment failure that requires opening the light-tight box, which then reveals the source has not been returned to its home position, the steps for decommissioning 5-8 will be followed. During the period of repairing the failure, the storage box containing the source will be placed in the light-tight box and the lid sealed at any time when the operator needs to leave room 527. </w:t>
      </w:r>
    </w:p>
    <w:p>
      <w:pPr>
        <w:pStyle w:val="Heading2"/>
        <w:rPr/>
      </w:pPr>
      <w:r>
        <w:rPr/>
        <w:t>Decommissioning</w:t>
      </w:r>
    </w:p>
    <w:p>
      <w:pPr>
        <w:pStyle w:val="ListParagraph"/>
        <w:numPr>
          <w:ilvl w:val="0"/>
          <w:numId w:val="2"/>
        </w:numPr>
        <w:rPr/>
      </w:pPr>
      <w:r>
        <w:rPr/>
        <w:t>Ensure the translation stage is in the home position by checking the readback from the translation stage controllers.</w:t>
      </w:r>
    </w:p>
    <w:p>
      <w:pPr>
        <w:pStyle w:val="ListParagraph"/>
        <w:numPr>
          <w:ilvl w:val="0"/>
          <w:numId w:val="2"/>
        </w:numPr>
        <w:rPr/>
      </w:pPr>
      <w:r>
        <w:rPr/>
        <w:t>Remove the lid of the light-tight box.</w:t>
      </w:r>
    </w:p>
    <w:p>
      <w:pPr>
        <w:pStyle w:val="ListParagraph"/>
        <w:numPr>
          <w:ilvl w:val="0"/>
          <w:numId w:val="2"/>
        </w:numPr>
        <w:rPr/>
      </w:pPr>
      <w:r>
        <w:rPr/>
        <w:t>Remove the screws on the lid of the source holder and remove the lid.</w:t>
      </w:r>
    </w:p>
    <w:p>
      <w:pPr>
        <w:pStyle w:val="ListParagraph"/>
        <w:numPr>
          <w:ilvl w:val="0"/>
          <w:numId w:val="2"/>
        </w:numPr>
        <w:rPr/>
      </w:pPr>
      <w:r>
        <w:rPr/>
        <w:t xml:space="preserve">Pick up and remove the source on the lipped end. </w:t>
      </w:r>
      <w:r>
        <w:rPr/>
        <w:t>Ensure the opening of the source always points away during the procedure.</w:t>
      </w:r>
    </w:p>
    <w:p>
      <w:pPr>
        <w:pStyle w:val="ListParagraph"/>
        <w:numPr>
          <w:ilvl w:val="0"/>
          <w:numId w:val="2"/>
        </w:numPr>
        <w:rPr/>
      </w:pPr>
      <w:r>
        <w:rPr/>
        <w:t>Inspect the housing of the source to ensure it has not been damaged.</w:t>
      </w:r>
    </w:p>
    <w:p>
      <w:pPr>
        <w:pStyle w:val="ListParagraph"/>
        <w:numPr>
          <w:ilvl w:val="0"/>
          <w:numId w:val="2"/>
        </w:numPr>
        <w:rPr/>
      </w:pPr>
      <w:r>
        <w:rPr/>
        <w:t>Place it back into the storage box for transportation back to its safe.</w:t>
      </w:r>
    </w:p>
    <w:p>
      <w:pPr>
        <w:pStyle w:val="ListParagraph"/>
        <w:numPr>
          <w:ilvl w:val="0"/>
          <w:numId w:val="2"/>
        </w:numPr>
        <w:rPr/>
      </w:pPr>
      <w:r>
        <w:rPr/>
        <w:t>Check background radiation around the optical table and within the light-tight box. Record the readings.</w:t>
      </w:r>
    </w:p>
    <w:p>
      <w:pPr>
        <w:pStyle w:val="ListParagraph"/>
        <w:numPr>
          <w:ilvl w:val="0"/>
          <w:numId w:val="2"/>
        </w:numPr>
        <w:rPr/>
      </w:pPr>
      <w:r>
        <w:rPr/>
        <w:t>Compare these readings with the initial measurements. Inform the local RPS immediately of any differences.</w:t>
      </w:r>
    </w:p>
    <w:p>
      <w:pPr>
        <w:pStyle w:val="ListParagraph"/>
        <w:numPr>
          <w:ilvl w:val="0"/>
          <w:numId w:val="2"/>
        </w:numPr>
        <w:rPr/>
      </w:pPr>
      <w:r>
        <w:rPr/>
        <w:t>Take a copy of the readings and place original record in the sleeve attached to the light-tight box.</w:t>
      </w:r>
    </w:p>
    <w:p>
      <w:pPr>
        <w:pStyle w:val="ListParagraph"/>
        <w:numPr>
          <w:ilvl w:val="0"/>
          <w:numId w:val="2"/>
        </w:numPr>
        <w:rPr/>
      </w:pPr>
      <w:r>
        <w:rPr/>
        <w:t>Transport the sealed box back to its safe, escorted by the RPS.</w:t>
      </w:r>
    </w:p>
    <w:p>
      <w:pPr>
        <w:pStyle w:val="Heading2"/>
        <w:rPr/>
      </w:pPr>
      <w:r>
        <w:rPr/>
        <w:t>Exposure Summary</w:t>
      </w:r>
    </w:p>
    <w:tbl>
      <w:tblPr>
        <w:tblStyle w:val="GridTable1Light"/>
        <w:tblW w:w="9242" w:type="dxa"/>
        <w:jc w:val="left"/>
        <w:tblInd w:w="0" w:type="dxa"/>
        <w:tblCellMar>
          <w:top w:w="0" w:type="dxa"/>
          <w:left w:w="108" w:type="dxa"/>
          <w:bottom w:w="0" w:type="dxa"/>
          <w:right w:w="108" w:type="dxa"/>
        </w:tblCellMar>
        <w:tblLook w:noVBand="1" w:val="04a0" w:noHBand="0" w:lastColumn="0" w:firstColumn="1" w:lastRow="0" w:firstRow="1"/>
      </w:tblPr>
      <w:tblGrid>
        <w:gridCol w:w="2310"/>
        <w:gridCol w:w="2311"/>
        <w:gridCol w:w="2310"/>
        <w:gridCol w:w="2310"/>
      </w:tblGrid>
      <w:tr>
        <w:trPr>
          <w:cnfStyle w:val="100000000000" w:firstRow="1" w:lastRow="0" w:firstColumn="0" w:lastColumn="0" w:oddVBand="0" w:evenVBand="0" w:oddHBand="0" w:evenHBand="0" w:firstRowFirstColumn="0" w:firstRowLastColumn="0" w:lastRowFirstColumn="0" w:lastRowLastColumn="0"/>
        </w:trPr>
        <w:tc>
          <w:tcPr>
            <w:tcW w:w="2310" w:type="dxa"/>
            <w:cnfStyle w:val="001000000000" w:firstRow="0" w:lastRow="0" w:firstColumn="1" w:lastColumn="0" w:oddVBand="0" w:evenVBand="0" w:oddHBand="0" w:evenHBand="0" w:firstRowFirstColumn="0" w:firstRowLastColumn="0" w:lastRowFirstColumn="0" w:lastRowLastColumn="0"/>
            <w:tcBorders>
              <w:bottom w:val="single" w:sz="12" w:space="0" w:color="666666"/>
              <w:insideH w:val="single" w:sz="12" w:space="0" w:color="666666"/>
            </w:tcBorders>
            <w:shd w:fill="auto" w:val="clear"/>
          </w:tcPr>
          <w:p>
            <w:pPr>
              <w:pStyle w:val="Normal"/>
              <w:spacing w:lineRule="auto" w:line="240" w:before="0" w:after="0"/>
              <w:rPr>
                <w:b/>
                <w:b/>
                <w:bCs/>
              </w:rPr>
            </w:pPr>
            <w:r>
              <w:rPr>
                <w:b/>
                <w:bCs/>
              </w:rPr>
              <w:t>Action</w:t>
            </w:r>
          </w:p>
        </w:tc>
        <w:tc>
          <w:tcPr>
            <w:tcW w:w="2311" w:type="dxa"/>
            <w:tcBorders>
              <w:bottom w:val="single" w:sz="12" w:space="0" w:color="666666"/>
              <w:insideH w:val="single" w:sz="12" w:space="0" w:color="666666"/>
            </w:tcBorders>
            <w:shd w:fill="auto" w:val="clear"/>
          </w:tcPr>
          <w:p>
            <w:pPr>
              <w:pStyle w:val="Normal"/>
              <w:spacing w:lineRule="auto" w:line="240" w:before="0" w:after="0"/>
              <w:cnfStyle w:val="100000000000" w:firstRow="1" w:lastRow="0" w:firstColumn="0" w:lastColumn="0" w:oddVBand="0" w:evenVBand="0" w:oddHBand="0" w:evenHBand="0" w:firstRowFirstColumn="0" w:firstRowLastColumn="0" w:lastRowFirstColumn="0" w:lastRowLastColumn="0"/>
              <w:rPr>
                <w:b/>
                <w:b/>
                <w:bCs/>
              </w:rPr>
            </w:pPr>
            <w:r>
              <w:rPr>
                <w:b/>
                <w:bCs/>
              </w:rPr>
              <w:t>Time</w:t>
            </w:r>
          </w:p>
        </w:tc>
        <w:tc>
          <w:tcPr>
            <w:tcW w:w="2310" w:type="dxa"/>
            <w:tcBorders>
              <w:bottom w:val="single" w:sz="12" w:space="0" w:color="666666"/>
              <w:insideH w:val="single" w:sz="12" w:space="0" w:color="666666"/>
            </w:tcBorders>
            <w:shd w:fill="auto" w:val="clear"/>
          </w:tcPr>
          <w:p>
            <w:pPr>
              <w:pStyle w:val="Normal"/>
              <w:spacing w:lineRule="auto" w:line="240" w:before="0" w:after="0"/>
              <w:cnfStyle w:val="100000000000" w:firstRow="1" w:lastRow="0" w:firstColumn="0" w:lastColumn="0" w:oddVBand="0" w:evenVBand="0" w:oddHBand="0" w:evenHBand="0" w:firstRowFirstColumn="0" w:firstRowLastColumn="0" w:lastRowFirstColumn="0" w:lastRowLastColumn="0"/>
              <w:rPr>
                <w:b/>
                <w:b/>
                <w:bCs/>
              </w:rPr>
            </w:pPr>
            <w:r>
              <w:rPr>
                <w:b/>
                <w:bCs/>
              </w:rPr>
              <w:t>Activity</w:t>
            </w:r>
          </w:p>
        </w:tc>
        <w:tc>
          <w:tcPr>
            <w:tcW w:w="2310" w:type="dxa"/>
            <w:tcBorders>
              <w:bottom w:val="single" w:sz="12" w:space="0" w:color="666666"/>
              <w:insideH w:val="single" w:sz="12" w:space="0" w:color="666666"/>
            </w:tcBorders>
            <w:shd w:fill="auto" w:val="clear"/>
          </w:tcPr>
          <w:p>
            <w:pPr>
              <w:pStyle w:val="Normal"/>
              <w:spacing w:lineRule="auto" w:line="240" w:before="0" w:after="0"/>
              <w:cnfStyle w:val="100000000000" w:firstRow="1" w:lastRow="0" w:firstColumn="0" w:lastColumn="0" w:oddVBand="0" w:evenVBand="0" w:oddHBand="0" w:evenHBand="0" w:firstRowFirstColumn="0" w:firstRowLastColumn="0" w:lastRowFirstColumn="0" w:lastRowLastColumn="0"/>
              <w:rPr>
                <w:b/>
                <w:b/>
                <w:bCs/>
              </w:rPr>
            </w:pPr>
            <w:r>
              <w:rPr>
                <w:b/>
                <w:bCs/>
              </w:rPr>
              <w:t>Type</w:t>
            </w:r>
          </w:p>
        </w:tc>
      </w:tr>
      <w:tr>
        <w:trPr/>
        <w:tc>
          <w:tcPr>
            <w:tcW w:w="2310"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spacing w:lineRule="auto" w:line="240" w:before="0" w:after="0"/>
              <w:rPr>
                <w:b w:val="false"/>
                <w:b w:val="false"/>
              </w:rPr>
            </w:pPr>
            <w:r>
              <w:rPr>
                <w:b w:val="false"/>
                <w:bCs/>
              </w:rPr>
              <w:t>Source installation</w:t>
            </w:r>
          </w:p>
        </w:tc>
        <w:tc>
          <w:tcPr>
            <w:tcW w:w="2311"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5 mintues</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1.7 MBq</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r>
            <m:oMath xmlns:m="http://schemas.openxmlformats.org/officeDocument/2006/math">
              <m:r>
                <w:rPr>
                  <w:rFonts w:ascii="Cambria Math" w:hAnsi="Cambria Math"/>
                </w:rPr>
                <m:t xml:space="preserve">β</m:t>
              </m:r>
            </m:oMath>
          </w:p>
        </w:tc>
      </w:tr>
      <w:tr>
        <w:trPr/>
        <w:tc>
          <w:tcPr>
            <w:tcW w:w="2310"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spacing w:lineRule="auto" w:line="240" w:before="0" w:after="0"/>
              <w:rPr>
                <w:b w:val="false"/>
                <w:b w:val="false"/>
              </w:rPr>
            </w:pPr>
            <w:r>
              <w:rPr>
                <w:b w:val="false"/>
                <w:bCs/>
              </w:rPr>
              <w:t>Experiment operation</w:t>
            </w:r>
          </w:p>
        </w:tc>
        <w:tc>
          <w:tcPr>
            <w:tcW w:w="2311"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0</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0 MBq</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N/A</w:t>
            </w:r>
          </w:p>
        </w:tc>
      </w:tr>
      <w:tr>
        <w:trPr/>
        <w:tc>
          <w:tcPr>
            <w:tcW w:w="2310"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spacing w:lineRule="auto" w:line="240" w:before="0" w:after="0"/>
              <w:rPr>
                <w:b w:val="false"/>
                <w:b w:val="false"/>
              </w:rPr>
            </w:pPr>
            <w:r>
              <w:rPr>
                <w:b w:val="false"/>
                <w:bCs/>
              </w:rPr>
              <w:t>Source removal (either for an intervention or decommissioning)</w:t>
            </w:r>
          </w:p>
        </w:tc>
        <w:tc>
          <w:tcPr>
            <w:tcW w:w="2311"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5 minutes</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t>1.7 MBq</w:t>
            </w:r>
          </w:p>
        </w:tc>
        <w:tc>
          <w:tcPr>
            <w:tcW w:w="2310" w:type="dxa"/>
            <w:tcBorders/>
            <w:shd w:fill="auto" w:val="clear"/>
          </w:tcPr>
          <w:p>
            <w:pPr>
              <w:pStyle w:val="Normal"/>
              <w:spacing w:lineRule="auto" w:line="240" w:before="0" w:after="0"/>
              <w:cnfStyle w:val="000000000000" w:firstRow="0" w:lastRow="0" w:firstColumn="0" w:lastColumn="0" w:oddVBand="0" w:evenVBand="0" w:oddHBand="0" w:evenHBand="0" w:firstRowFirstColumn="0" w:firstRowLastColumn="0" w:lastRowFirstColumn="0" w:lastRowLastColumn="0"/>
              <w:rPr/>
            </w:pPr>
            <w:r>
              <w:rPr/>
            </w:r>
            <m:oMath xmlns:m="http://schemas.openxmlformats.org/officeDocument/2006/math">
              <m:r>
                <w:rPr>
                  <w:rFonts w:ascii="Cambria Math" w:hAnsi="Cambria Math"/>
                </w:rPr>
                <m:t xml:space="preserve">β</m:t>
              </m:r>
            </m:oMath>
          </w:p>
        </w:tc>
      </w:tr>
    </w:tbl>
    <w:p>
      <w:pPr>
        <w:pStyle w:val="Normal"/>
        <w:rPr/>
      </w:pPr>
      <w:r>
        <w:rPr/>
      </w:r>
    </w:p>
    <w:p>
      <w:pPr>
        <w:pStyle w:val="Heading2"/>
        <w:rPr/>
      </w:pPr>
      <w:r>
        <w:rPr/>
        <w:t>Contacts</w:t>
      </w:r>
    </w:p>
    <w:tbl>
      <w:tblPr>
        <w:tblW w:w="9243" w:type="dxa"/>
        <w:jc w:val="left"/>
        <w:tblInd w:w="0" w:type="dxa"/>
        <w:tblBorders/>
        <w:tblCellMar>
          <w:top w:w="0" w:type="dxa"/>
          <w:left w:w="108" w:type="dxa"/>
          <w:bottom w:w="0" w:type="dxa"/>
          <w:right w:w="108" w:type="dxa"/>
        </w:tblCellMar>
        <w:tblLook w:noVBand="1" w:val="04a0" w:noHBand="0" w:lastColumn="0" w:firstColumn="1" w:lastRow="0" w:firstRow="1"/>
      </w:tblPr>
      <w:tblGrid>
        <w:gridCol w:w="1808"/>
        <w:gridCol w:w="1305"/>
        <w:gridCol w:w="1477"/>
        <w:gridCol w:w="1449"/>
        <w:gridCol w:w="3204"/>
      </w:tblGrid>
      <w:tr>
        <w:trPr/>
        <w:tc>
          <w:tcPr>
            <w:tcW w:w="1808" w:type="dxa"/>
            <w:tcBorders/>
            <w:shd w:fill="auto" w:val="clear"/>
          </w:tcPr>
          <w:p>
            <w:pPr>
              <w:pStyle w:val="Normal"/>
              <w:suppressAutoHyphens w:val="true"/>
              <w:spacing w:before="0" w:after="200"/>
              <w:rPr>
                <w:rFonts w:ascii="Arial" w:hAnsi="Arial"/>
                <w:sz w:val="18"/>
                <w:szCs w:val="18"/>
              </w:rPr>
            </w:pPr>
            <w:r>
              <w:rPr>
                <w:rFonts w:ascii="Arial" w:hAnsi="Arial"/>
                <w:sz w:val="18"/>
                <w:szCs w:val="18"/>
              </w:rPr>
              <w:t>Ross Manson</w:t>
            </w:r>
          </w:p>
        </w:tc>
        <w:tc>
          <w:tcPr>
            <w:tcW w:w="1305" w:type="dxa"/>
            <w:tcBorders/>
            <w:shd w:fill="auto" w:val="clear"/>
          </w:tcPr>
          <w:p>
            <w:pPr>
              <w:pStyle w:val="Normal"/>
              <w:suppressAutoHyphens w:val="true"/>
              <w:spacing w:before="0" w:after="200"/>
              <w:rPr>
                <w:rFonts w:ascii="Arial" w:hAnsi="Arial"/>
                <w:sz w:val="18"/>
                <w:szCs w:val="18"/>
              </w:rPr>
            </w:pPr>
            <w:r>
              <w:rPr>
                <w:rFonts w:ascii="Arial" w:hAnsi="Arial"/>
                <w:sz w:val="18"/>
                <w:szCs w:val="18"/>
              </w:rPr>
              <w:t>RPM/RPA</w:t>
            </w:r>
          </w:p>
        </w:tc>
        <w:tc>
          <w:tcPr>
            <w:tcW w:w="1477"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020 759 49403</w:t>
            </w:r>
          </w:p>
        </w:tc>
        <w:tc>
          <w:tcPr>
            <w:tcW w:w="1449"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07714 051 510</w:t>
            </w:r>
          </w:p>
        </w:tc>
        <w:tc>
          <w:tcPr>
            <w:tcW w:w="3204" w:type="dxa"/>
            <w:tcBorders/>
            <w:shd w:fill="auto" w:val="clear"/>
          </w:tcPr>
          <w:p>
            <w:pPr>
              <w:pStyle w:val="Normal"/>
              <w:suppressAutoHyphens w:val="true"/>
              <w:spacing w:before="0" w:after="200"/>
              <w:jc w:val="center"/>
              <w:rPr/>
            </w:pPr>
            <w:hyperlink r:id="rId2">
              <w:r>
                <w:rPr>
                  <w:rStyle w:val="InternetLink"/>
                  <w:rFonts w:ascii="Arial" w:hAnsi="Arial"/>
                  <w:sz w:val="18"/>
                  <w:szCs w:val="18"/>
                </w:rPr>
                <w:t>r.manson@imperial.ac.uk</w:t>
              </w:r>
            </w:hyperlink>
          </w:p>
        </w:tc>
      </w:tr>
      <w:tr>
        <w:trPr/>
        <w:tc>
          <w:tcPr>
            <w:tcW w:w="1808" w:type="dxa"/>
            <w:tcBorders/>
            <w:shd w:fill="auto" w:val="clear"/>
          </w:tcPr>
          <w:p>
            <w:pPr>
              <w:pStyle w:val="Normal"/>
              <w:suppressAutoHyphens w:val="true"/>
              <w:spacing w:before="0" w:after="200"/>
              <w:rPr>
                <w:rFonts w:ascii="Arial" w:hAnsi="Arial"/>
                <w:sz w:val="18"/>
                <w:szCs w:val="18"/>
              </w:rPr>
            </w:pPr>
            <w:r>
              <w:rPr>
                <w:rFonts w:ascii="Arial" w:hAnsi="Arial"/>
                <w:sz w:val="18"/>
                <w:szCs w:val="18"/>
              </w:rPr>
              <w:t>Jon Fear</w:t>
            </w:r>
          </w:p>
        </w:tc>
        <w:tc>
          <w:tcPr>
            <w:tcW w:w="1305" w:type="dxa"/>
            <w:tcBorders/>
            <w:shd w:fill="auto" w:val="clear"/>
          </w:tcPr>
          <w:p>
            <w:pPr>
              <w:pStyle w:val="Normal"/>
              <w:suppressAutoHyphens w:val="true"/>
              <w:spacing w:before="0" w:after="200"/>
              <w:rPr>
                <w:rFonts w:ascii="Arial" w:hAnsi="Arial"/>
                <w:sz w:val="18"/>
                <w:szCs w:val="18"/>
              </w:rPr>
            </w:pPr>
            <w:r>
              <w:rPr>
                <w:rFonts w:ascii="Arial" w:hAnsi="Arial"/>
                <w:sz w:val="18"/>
                <w:szCs w:val="18"/>
              </w:rPr>
              <w:t>RPO</w:t>
            </w:r>
          </w:p>
        </w:tc>
        <w:tc>
          <w:tcPr>
            <w:tcW w:w="1477"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020 759 43045</w:t>
            </w:r>
          </w:p>
        </w:tc>
        <w:tc>
          <w:tcPr>
            <w:tcW w:w="1449"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07711 684 749</w:t>
            </w:r>
          </w:p>
        </w:tc>
        <w:tc>
          <w:tcPr>
            <w:tcW w:w="3204" w:type="dxa"/>
            <w:tcBorders/>
            <w:shd w:fill="auto" w:val="clear"/>
          </w:tcPr>
          <w:p>
            <w:pPr>
              <w:pStyle w:val="Normal"/>
              <w:suppressAutoHyphens w:val="true"/>
              <w:spacing w:before="0" w:after="200"/>
              <w:jc w:val="center"/>
              <w:rPr/>
            </w:pPr>
            <w:hyperlink r:id="rId3">
              <w:r>
                <w:rPr>
                  <w:rStyle w:val="InternetLink"/>
                  <w:rFonts w:ascii="Arial" w:hAnsi="Arial"/>
                  <w:sz w:val="18"/>
                  <w:szCs w:val="18"/>
                </w:rPr>
                <w:t>j.fear@imperial.ac.uk</w:t>
              </w:r>
            </w:hyperlink>
          </w:p>
        </w:tc>
      </w:tr>
      <w:tr>
        <w:trPr/>
        <w:tc>
          <w:tcPr>
            <w:tcW w:w="1808" w:type="dxa"/>
            <w:tcBorders/>
            <w:shd w:fill="auto" w:val="clear"/>
          </w:tcPr>
          <w:p>
            <w:pPr>
              <w:pStyle w:val="Normal"/>
              <w:suppressAutoHyphens w:val="true"/>
              <w:spacing w:before="0" w:after="200"/>
              <w:rPr>
                <w:rFonts w:ascii="Arial" w:hAnsi="Arial"/>
                <w:sz w:val="18"/>
                <w:szCs w:val="18"/>
              </w:rPr>
            </w:pPr>
            <w:r>
              <w:rPr>
                <w:rFonts w:ascii="Arial" w:hAnsi="Arial"/>
                <w:sz w:val="18"/>
                <w:szCs w:val="18"/>
              </w:rPr>
              <w:t>Gwen Mott</w:t>
            </w:r>
          </w:p>
        </w:tc>
        <w:tc>
          <w:tcPr>
            <w:tcW w:w="1305" w:type="dxa"/>
            <w:tcBorders/>
            <w:shd w:fill="auto" w:val="clear"/>
          </w:tcPr>
          <w:p>
            <w:pPr>
              <w:pStyle w:val="Normal"/>
              <w:suppressAutoHyphens w:val="true"/>
              <w:spacing w:before="0" w:after="200"/>
              <w:rPr>
                <w:rFonts w:ascii="Arial" w:hAnsi="Arial"/>
                <w:sz w:val="18"/>
                <w:szCs w:val="18"/>
              </w:rPr>
            </w:pPr>
            <w:r>
              <w:rPr>
                <w:rFonts w:ascii="Arial" w:hAnsi="Arial"/>
                <w:sz w:val="18"/>
                <w:szCs w:val="18"/>
              </w:rPr>
              <w:t>RPO</w:t>
            </w:r>
          </w:p>
        </w:tc>
        <w:tc>
          <w:tcPr>
            <w:tcW w:w="1477"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020 759 49425</w:t>
            </w:r>
          </w:p>
        </w:tc>
        <w:tc>
          <w:tcPr>
            <w:tcW w:w="1449"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07725 159 734</w:t>
            </w:r>
          </w:p>
        </w:tc>
        <w:tc>
          <w:tcPr>
            <w:tcW w:w="3204" w:type="dxa"/>
            <w:tcBorders/>
            <w:shd w:fill="auto" w:val="clear"/>
          </w:tcPr>
          <w:p>
            <w:pPr>
              <w:pStyle w:val="Normal"/>
              <w:suppressAutoHyphens w:val="true"/>
              <w:spacing w:before="0" w:after="200"/>
              <w:jc w:val="center"/>
              <w:rPr/>
            </w:pPr>
            <w:hyperlink r:id="rId4">
              <w:bookmarkStart w:id="0" w:name="__DdeLink__2260_3689854279"/>
              <w:r>
                <w:rPr>
                  <w:rStyle w:val="InternetLink"/>
                  <w:rFonts w:ascii="Arial" w:hAnsi="Arial"/>
                  <w:sz w:val="18"/>
                  <w:szCs w:val="18"/>
                </w:rPr>
                <w:t>g.mott@imperial.ac.uk</w:t>
              </w:r>
            </w:hyperlink>
            <w:bookmarkEnd w:id="0"/>
          </w:p>
        </w:tc>
      </w:tr>
      <w:tr>
        <w:trPr/>
        <w:tc>
          <w:tcPr>
            <w:tcW w:w="1808" w:type="dxa"/>
            <w:tcBorders/>
            <w:shd w:fill="auto" w:val="clear"/>
          </w:tcPr>
          <w:p>
            <w:pPr>
              <w:pStyle w:val="Normal"/>
              <w:suppressAutoHyphens w:val="true"/>
              <w:spacing w:before="0" w:after="200"/>
              <w:rPr>
                <w:rFonts w:ascii="Arial" w:hAnsi="Arial"/>
                <w:sz w:val="18"/>
                <w:szCs w:val="18"/>
              </w:rPr>
            </w:pPr>
            <w:r>
              <w:rPr>
                <w:rFonts w:ascii="Arial" w:hAnsi="Arial"/>
                <w:sz w:val="18"/>
                <w:szCs w:val="18"/>
              </w:rPr>
              <w:t>Antonin Vacheret</w:t>
            </w:r>
          </w:p>
        </w:tc>
        <w:tc>
          <w:tcPr>
            <w:tcW w:w="1305" w:type="dxa"/>
            <w:tcBorders/>
            <w:shd w:fill="auto" w:val="clear"/>
          </w:tcPr>
          <w:p>
            <w:pPr>
              <w:pStyle w:val="Normal"/>
              <w:suppressAutoHyphens w:val="true"/>
              <w:spacing w:before="0" w:after="200"/>
              <w:rPr>
                <w:rFonts w:ascii="Arial" w:hAnsi="Arial"/>
                <w:sz w:val="18"/>
                <w:szCs w:val="18"/>
              </w:rPr>
            </w:pPr>
            <w:r>
              <w:rPr>
                <w:rFonts w:ascii="Arial" w:hAnsi="Arial"/>
                <w:sz w:val="18"/>
                <w:szCs w:val="18"/>
              </w:rPr>
              <w:t>RPS</w:t>
            </w:r>
          </w:p>
        </w:tc>
        <w:tc>
          <w:tcPr>
            <w:tcW w:w="1477"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 xml:space="preserve">020 759 </w:t>
            </w:r>
            <w:r>
              <w:rPr/>
              <w:t>47894</w:t>
            </w:r>
          </w:p>
        </w:tc>
        <w:tc>
          <w:tcPr>
            <w:tcW w:w="1449"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r>
          </w:p>
        </w:tc>
        <w:tc>
          <w:tcPr>
            <w:tcW w:w="3204" w:type="dxa"/>
            <w:tcBorders/>
            <w:shd w:fill="auto" w:val="clear"/>
          </w:tcPr>
          <w:p>
            <w:pPr>
              <w:pStyle w:val="Normal"/>
              <w:suppressAutoHyphens w:val="true"/>
              <w:spacing w:before="0" w:after="200"/>
              <w:jc w:val="center"/>
              <w:rPr/>
            </w:pPr>
            <w:hyperlink r:id="rId5">
              <w:r>
                <w:rPr>
                  <w:rStyle w:val="InternetLink"/>
                </w:rPr>
                <w:t>antonin.vacheret@imperial.ac.uk</w:t>
              </w:r>
            </w:hyperlink>
            <w:r>
              <w:rPr/>
              <w:t xml:space="preserve"> </w:t>
            </w:r>
          </w:p>
        </w:tc>
      </w:tr>
      <w:tr>
        <w:trPr/>
        <w:tc>
          <w:tcPr>
            <w:tcW w:w="1808" w:type="dxa"/>
            <w:tcBorders/>
            <w:shd w:fill="auto" w:val="clear"/>
          </w:tcPr>
          <w:p>
            <w:pPr>
              <w:pStyle w:val="Normal"/>
              <w:suppressAutoHyphens w:val="true"/>
              <w:spacing w:before="0" w:after="200"/>
              <w:rPr>
                <w:rFonts w:ascii="Arial" w:hAnsi="Arial"/>
                <w:sz w:val="18"/>
                <w:szCs w:val="18"/>
              </w:rPr>
            </w:pPr>
            <w:r>
              <w:rPr>
                <w:rFonts w:ascii="Arial" w:hAnsi="Arial"/>
                <w:sz w:val="18"/>
                <w:szCs w:val="18"/>
              </w:rPr>
              <w:t>Ken Long</w:t>
            </w:r>
          </w:p>
        </w:tc>
        <w:tc>
          <w:tcPr>
            <w:tcW w:w="1305" w:type="dxa"/>
            <w:tcBorders/>
            <w:shd w:fill="auto" w:val="clear"/>
          </w:tcPr>
          <w:p>
            <w:pPr>
              <w:pStyle w:val="Normal"/>
              <w:suppressAutoHyphens w:val="true"/>
              <w:spacing w:before="0" w:after="200"/>
              <w:rPr>
                <w:rFonts w:ascii="Arial" w:hAnsi="Arial"/>
                <w:sz w:val="18"/>
                <w:szCs w:val="18"/>
              </w:rPr>
            </w:pPr>
            <w:r>
              <w:rPr>
                <w:rFonts w:ascii="Arial" w:hAnsi="Arial"/>
                <w:sz w:val="18"/>
                <w:szCs w:val="18"/>
              </w:rPr>
            </w:r>
          </w:p>
        </w:tc>
        <w:tc>
          <w:tcPr>
            <w:tcW w:w="1477"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 xml:space="preserve">020 759 47812 </w:t>
            </w:r>
          </w:p>
        </w:tc>
        <w:tc>
          <w:tcPr>
            <w:tcW w:w="1449" w:type="dxa"/>
            <w:tcBorders/>
            <w:shd w:fill="auto" w:val="clear"/>
          </w:tcPr>
          <w:p>
            <w:pPr>
              <w:pStyle w:val="Normal"/>
              <w:suppressAutoHyphens w:val="true"/>
              <w:spacing w:before="0" w:after="200"/>
              <w:jc w:val="center"/>
              <w:rPr>
                <w:rFonts w:ascii="Arial" w:hAnsi="Arial"/>
                <w:sz w:val="18"/>
                <w:szCs w:val="18"/>
              </w:rPr>
            </w:pPr>
            <w:r>
              <w:rPr>
                <w:rFonts w:ascii="Arial" w:hAnsi="Arial"/>
                <w:sz w:val="18"/>
                <w:szCs w:val="18"/>
              </w:rPr>
              <w:t>07890 595 138</w:t>
            </w:r>
          </w:p>
        </w:tc>
        <w:tc>
          <w:tcPr>
            <w:tcW w:w="3204" w:type="dxa"/>
            <w:tcBorders/>
            <w:shd w:fill="auto" w:val="clear"/>
          </w:tcPr>
          <w:p>
            <w:pPr>
              <w:pStyle w:val="Normal"/>
              <w:suppressAutoHyphens w:val="true"/>
              <w:spacing w:before="0" w:after="200"/>
              <w:jc w:val="center"/>
              <w:rPr>
                <w:rFonts w:ascii="Arial" w:hAnsi="Arial"/>
                <w:sz w:val="18"/>
                <w:szCs w:val="18"/>
              </w:rPr>
            </w:pPr>
            <w:hyperlink r:id="rId6">
              <w:r>
                <w:rPr>
                  <w:rStyle w:val="InternetLink"/>
                  <w:rFonts w:ascii="Arial" w:hAnsi="Arial"/>
                  <w:sz w:val="18"/>
                  <w:szCs w:val="18"/>
                </w:rPr>
                <w:t>k.long@imperial.ac.uk</w:t>
              </w:r>
            </w:hyperlink>
          </w:p>
        </w:tc>
      </w:tr>
    </w:tbl>
    <w:p>
      <w:pPr>
        <w:pStyle w:val="Normal"/>
        <w:widowControl/>
        <w:bidi w:val="0"/>
        <w:spacing w:lineRule="auto" w:line="276" w:before="0" w:after="200"/>
        <w:jc w:val="left"/>
        <w:rPr/>
      </w:pPr>
      <w:r>
        <w:rPr/>
      </w:r>
    </w:p>
    <w:sectPr>
      <w:footerReference w:type="default" r:id="rId7"/>
      <w:type w:val="nextPage"/>
      <w:pgSz w:w="11906" w:h="16838"/>
      <w:pgMar w:left="1440" w:right="1440" w:header="0" w:top="1440" w:footer="708"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Arial">
    <w:charset w:val="01"/>
    <w:family w:val="roman"/>
    <w:pitch w:val="variable"/>
  </w:font>
  <w:font w:name="Liberation Sans">
    <w:altName w:val="Arial"/>
    <w:charset w:val="01"/>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0"/>
      </w:pBdr>
      <w:rPr/>
    </w:pPr>
    <w:r>
      <w:rPr/>
      <w:t>Hin Tung Lau</w:t>
    </w:r>
    <w:r>
      <w:rPr/>
      <w:tab/>
    </w:r>
    <w:r>
      <w:rPr/>
      <w:fldChar w:fldCharType="begin"/>
    </w:r>
    <w:r>
      <w:rPr/>
      <w:instrText> PAGE \* ARABIC </w:instrText>
    </w:r>
    <w:r>
      <w:rPr/>
      <w:fldChar w:fldCharType="separate"/>
    </w:r>
    <w:r>
      <w:rPr/>
      <w:t>2</w:t>
    </w:r>
    <w:r>
      <w:rPr/>
      <w:fldChar w:fldCharType="end"/>
    </w:r>
    <w:r>
      <w:rPr/>
      <w:tab/>
    </w:r>
    <w:r>
      <w:rPr/>
      <w:t>19</w:t>
    </w:r>
    <w:r>
      <w:rPr>
        <w:vertAlign w:val="superscript"/>
      </w:rPr>
      <w:t>th</w:t>
    </w:r>
    <w:r>
      <w:rPr/>
      <w:t xml:space="preserve"> </w:t>
    </w:r>
    <w:r>
      <w:rPr/>
      <w:t>November</w:t>
    </w:r>
    <w:r>
      <w:rPr/>
      <w:t xml:space="preserve"> 2019</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paragraph" w:styleId="Heading1">
    <w:name w:val="Heading 1"/>
    <w:basedOn w:val="Normal"/>
    <w:next w:val="Normal"/>
    <w:link w:val="Heading1Char"/>
    <w:uiPriority w:val="9"/>
    <w:qFormat/>
    <w:rsid w:val="001f007b"/>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Heading2">
    <w:name w:val="Heading 2"/>
    <w:basedOn w:val="Normal"/>
    <w:next w:val="Normal"/>
    <w:link w:val="Heading2Char"/>
    <w:uiPriority w:val="9"/>
    <w:unhideWhenUsed/>
    <w:qFormat/>
    <w:rsid w:val="001f007b"/>
    <w:pPr>
      <w:keepNext w:val="true"/>
      <w:keepLines/>
      <w:spacing w:before="40" w:after="0"/>
      <w:outlineLvl w:val="1"/>
    </w:pPr>
    <w:rPr>
      <w:rFonts w:ascii="Cambria" w:hAnsi="Cambria" w:eastAsia="ＭＳ ゴシック" w:cs="" w:asciiTheme="majorHAnsi" w:cstheme="majorBidi" w:eastAsiaTheme="majorEastAsia" w:hAnsiTheme="majorHAnsi"/>
      <w:color w:val="365F91" w:themeColor="accent1" w:themeShade="bf"/>
      <w:sz w:val="26"/>
      <w:szCs w:val="26"/>
    </w:rPr>
  </w:style>
  <w:style w:type="paragraph" w:styleId="Heading3">
    <w:name w:val="Heading 3"/>
    <w:basedOn w:val="Normal"/>
    <w:next w:val="Normal"/>
    <w:link w:val="Heading3Char"/>
    <w:uiPriority w:val="9"/>
    <w:unhideWhenUsed/>
    <w:qFormat/>
    <w:rsid w:val="00577560"/>
    <w:pPr>
      <w:keepNext w:val="true"/>
      <w:keepLines/>
      <w:spacing w:before="40" w:after="0"/>
      <w:outlineLvl w:val="2"/>
    </w:pPr>
    <w:rPr>
      <w:rFonts w:ascii="Cambria" w:hAnsi="Cambria" w:eastAsia="ＭＳ ゴシック" w:cs="" w:asciiTheme="majorHAnsi" w:cstheme="majorBidi" w:eastAsiaTheme="majorEastAsia" w:hAnsiTheme="majorHAnsi"/>
      <w:color w:val="243F60" w:themeColor="accent1" w:themeShade="7f"/>
      <w:sz w:val="24"/>
      <w:szCs w:val="24"/>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1f007b"/>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Heading2Char" w:customStyle="1">
    <w:name w:val="Heading 2 Char"/>
    <w:basedOn w:val="DefaultParagraphFont"/>
    <w:link w:val="Heading2"/>
    <w:uiPriority w:val="9"/>
    <w:qFormat/>
    <w:rsid w:val="001f007b"/>
    <w:rPr>
      <w:rFonts w:ascii="Cambria" w:hAnsi="Cambria" w:eastAsia="ＭＳ ゴシック" w:cs="" w:asciiTheme="majorHAnsi" w:cstheme="majorBidi" w:eastAsiaTheme="majorEastAsia" w:hAnsiTheme="majorHAnsi"/>
      <w:color w:val="365F91" w:themeColor="accent1" w:themeShade="bf"/>
      <w:sz w:val="26"/>
      <w:szCs w:val="26"/>
    </w:rPr>
  </w:style>
  <w:style w:type="character" w:styleId="PlaceholderText">
    <w:name w:val="Placeholder Text"/>
    <w:basedOn w:val="DefaultParagraphFont"/>
    <w:uiPriority w:val="99"/>
    <w:semiHidden/>
    <w:qFormat/>
    <w:rsid w:val="00c659fb"/>
    <w:rPr>
      <w:color w:val="808080"/>
    </w:rPr>
  </w:style>
  <w:style w:type="character" w:styleId="Heading3Char" w:customStyle="1">
    <w:name w:val="Heading 3 Char"/>
    <w:basedOn w:val="DefaultParagraphFont"/>
    <w:link w:val="Heading3"/>
    <w:uiPriority w:val="9"/>
    <w:qFormat/>
    <w:rsid w:val="00577560"/>
    <w:rPr>
      <w:rFonts w:ascii="Cambria" w:hAnsi="Cambria" w:eastAsia="ＭＳ ゴシック" w:cs="" w:asciiTheme="majorHAnsi" w:cstheme="majorBidi" w:eastAsiaTheme="majorEastAsia" w:hAnsiTheme="majorHAnsi"/>
      <w:color w:val="243F60" w:themeColor="accent1" w:themeShade="7f"/>
      <w:sz w:val="24"/>
      <w:szCs w:val="24"/>
    </w:rPr>
  </w:style>
  <w:style w:type="character" w:styleId="HeaderChar" w:customStyle="1">
    <w:name w:val="Header Char"/>
    <w:basedOn w:val="DefaultParagraphFont"/>
    <w:link w:val="Header"/>
    <w:uiPriority w:val="99"/>
    <w:qFormat/>
    <w:rsid w:val="00577560"/>
    <w:rPr/>
  </w:style>
  <w:style w:type="character" w:styleId="FooterChar" w:customStyle="1">
    <w:name w:val="Footer Char"/>
    <w:basedOn w:val="DefaultParagraphFont"/>
    <w:link w:val="Footer"/>
    <w:uiPriority w:val="99"/>
    <w:qFormat/>
    <w:rsid w:val="00577560"/>
    <w:rPr/>
  </w:style>
  <w:style w:type="character" w:styleId="InternetLink">
    <w:name w:val="Internet Link"/>
    <w:rsid w:val="007325d0"/>
    <w:rPr>
      <w:color w:val="0000FF"/>
      <w:u w:val="single"/>
    </w:rPr>
  </w:style>
  <w:style w:type="character" w:styleId="UnresolvedMention">
    <w:name w:val="Unresolved Mention"/>
    <w:basedOn w:val="DefaultParagraphFont"/>
    <w:uiPriority w:val="99"/>
    <w:semiHidden/>
    <w:unhideWhenUsed/>
    <w:qFormat/>
    <w:rsid w:val="007325d0"/>
    <w:rPr>
      <w:color w:val="605E5C"/>
      <w:shd w:fill="E1DFDD" w:val="clear"/>
    </w:rPr>
  </w:style>
  <w:style w:type="character" w:styleId="ListLabel1">
    <w:name w:val="ListLabel 1"/>
    <w:qFormat/>
    <w:rPr>
      <w:rFonts w:ascii="Arial" w:hAnsi="Arial"/>
      <w:sz w:val="18"/>
      <w:szCs w:val="18"/>
    </w:rPr>
  </w:style>
  <w:style w:type="character" w:styleId="ListLabel2">
    <w:name w:val="ListLabel 2"/>
    <w:qFormat/>
    <w:rPr/>
  </w:style>
  <w:style w:type="paragraph" w:styleId="Heading">
    <w:name w:val="Heading"/>
    <w:basedOn w:val="Normal"/>
    <w:next w:val="TextBody"/>
    <w:qFormat/>
    <w:pPr>
      <w:keepNext w:val="true"/>
      <w:spacing w:before="240" w:after="120"/>
    </w:pPr>
    <w:rPr>
      <w:rFonts w:ascii="Liberation Sans" w:hAnsi="Liberation Sans" w:eastAsia="Source Han Sans CN"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1f007b"/>
    <w:pPr>
      <w:spacing w:before="0" w:after="200"/>
      <w:ind w:left="720" w:hanging="0"/>
      <w:contextualSpacing/>
    </w:pPr>
    <w:rPr/>
  </w:style>
  <w:style w:type="paragraph" w:styleId="Header">
    <w:name w:val="Header"/>
    <w:basedOn w:val="Normal"/>
    <w:link w:val="HeaderChar"/>
    <w:uiPriority w:val="99"/>
    <w:unhideWhenUsed/>
    <w:rsid w:val="00577560"/>
    <w:pPr>
      <w:tabs>
        <w:tab w:val="clear" w:pos="720"/>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577560"/>
    <w:pPr>
      <w:tabs>
        <w:tab w:val="clear" w:pos="720"/>
        <w:tab w:val="center" w:pos="4513" w:leader="none"/>
        <w:tab w:val="right" w:pos="9026" w:leader="none"/>
      </w:tabs>
      <w:spacing w:lineRule="auto" w:line="240" w:before="0" w:after="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c659f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
    <w:name w:val="Grid Table 1 Light"/>
    <w:basedOn w:val="TableNormal"/>
    <w:uiPriority w:val="46"/>
    <w:rsid w:val="00c659fb"/>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manson@imperial.ac.uk" TargetMode="External"/><Relationship Id="rId3" Type="http://schemas.openxmlformats.org/officeDocument/2006/relationships/hyperlink" Target="mailto:j.fear@imperial.ac.uk" TargetMode="External"/><Relationship Id="rId4" Type="http://schemas.openxmlformats.org/officeDocument/2006/relationships/hyperlink" Target="mailto:g.mott@imperial.ac.uk" TargetMode="External"/><Relationship Id="rId5" Type="http://schemas.openxmlformats.org/officeDocument/2006/relationships/hyperlink" Target="mailto:antonin.vacheret@imperial.ac.uk" TargetMode="External"/><Relationship Id="rId6" Type="http://schemas.openxmlformats.org/officeDocument/2006/relationships/hyperlink" Target="mailto:g.mott@imperial.ac.uk"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11993</TotalTime>
  <Application>LibreOffice/6.1.5.2$Linux_X86_64 LibreOffice_project/10$Build-2</Application>
  <Pages>2</Pages>
  <Words>839</Words>
  <Characters>4154</Characters>
  <CharactersWithSpaces>4914</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2019-04-17T10:29:00Z</dcterms:created>
  <dc:creator>A K</dc:creator>
  <dc:description/>
  <dc:language>en-GB</dc:language>
  <cp:lastModifiedBy/>
  <cp:lastPrinted>2019-04-17T10:30:00Z</cp:lastPrinted>
  <dcterms:modified xsi:type="dcterms:W3CDTF">2019-11-19T17:36:36Z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