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4817" w14:textId="3FFB3B65" w:rsidR="00B25622" w:rsidRDefault="00B060AD" w:rsidP="00B25622">
      <w:pPr>
        <w:pStyle w:val="Heading1"/>
        <w:jc w:val="center"/>
      </w:pPr>
      <w:r>
        <w:t>Terms of Reference for the r</w:t>
      </w:r>
      <w:r w:rsidR="0083287D">
        <w:t xml:space="preserve">eview of </w:t>
      </w:r>
      <w:r w:rsidR="00B25622">
        <w:t xml:space="preserve">the </w:t>
      </w:r>
      <w:proofErr w:type="spellStart"/>
      <w:r w:rsidR="00B25622">
        <w:t>LhARA</w:t>
      </w:r>
      <w:proofErr w:type="spellEnd"/>
      <w:r w:rsidR="00B25622">
        <w:t xml:space="preserve"> collaboration’s</w:t>
      </w:r>
    </w:p>
    <w:p w14:paraId="711995F8" w14:textId="7D9B3231" w:rsidR="00B060AD" w:rsidRPr="00B060AD" w:rsidRDefault="00B25622" w:rsidP="00B060AD">
      <w:pPr>
        <w:pStyle w:val="Heading1"/>
        <w:jc w:val="center"/>
      </w:pPr>
      <w:r>
        <w:t>“</w:t>
      </w:r>
      <w:hyperlink r:id="rId7" w:history="1">
        <w:r w:rsidRPr="00B25622">
          <w:rPr>
            <w:rStyle w:val="Hyperlink"/>
          </w:rPr>
          <w:t>R&amp;D proposal for the preliminary and pre-construction phases</w:t>
        </w:r>
      </w:hyperlink>
      <w:r>
        <w:t>”</w:t>
      </w:r>
    </w:p>
    <w:p w14:paraId="200B9FEB" w14:textId="392535AB" w:rsidR="00DB40D0" w:rsidRDefault="00DB40D0" w:rsidP="00B25622">
      <w:r>
        <w:t>The Laser-hybrid Accelerator for Radiobiological Applications (</w:t>
      </w:r>
      <w:proofErr w:type="spellStart"/>
      <w:r>
        <w:t>LhARA</w:t>
      </w:r>
      <w:proofErr w:type="spellEnd"/>
      <w:r>
        <w:t xml:space="preserve">) formed the basis of the </w:t>
      </w:r>
      <w:hyperlink r:id="rId8" w:history="1">
        <w:r w:rsidRPr="00CB3982">
          <w:rPr>
            <w:rStyle w:val="Hyperlink"/>
          </w:rPr>
          <w:t>STFC proposal to the UKRI Infrastructure Advisory Committee</w:t>
        </w:r>
      </w:hyperlink>
      <w:r w:rsidRPr="00CB3982">
        <w:t xml:space="preserve"> to establish the Ion Therapy Research Facility (ITRF)</w:t>
      </w:r>
      <w:r>
        <w:t xml:space="preserve">.  </w:t>
      </w:r>
      <w:r w:rsidR="00401DAE">
        <w:t xml:space="preserve">The </w:t>
      </w:r>
      <w:proofErr w:type="spellStart"/>
      <w:r w:rsidR="00401DAE">
        <w:t>LhARA</w:t>
      </w:r>
      <w:proofErr w:type="spellEnd"/>
      <w:r w:rsidR="00401DAE">
        <w:t xml:space="preserve"> collaboration has prepared a </w:t>
      </w:r>
      <w:hyperlink r:id="rId9" w:history="1">
        <w:r w:rsidR="00401DAE" w:rsidRPr="00401DAE">
          <w:rPr>
            <w:rStyle w:val="Hyperlink"/>
          </w:rPr>
          <w:t>proposal for a five-year programme of R&amp;D</w:t>
        </w:r>
      </w:hyperlink>
      <w:r w:rsidR="00401DAE">
        <w:t xml:space="preserve"> that is designed to be carried out during the Preliminary Activity and Preconstruction phases of the development of the Ion Therapy Research Facility (ITRF).</w:t>
      </w:r>
      <w:r>
        <w:t xml:space="preserve">  </w:t>
      </w:r>
    </w:p>
    <w:p w14:paraId="3E456754" w14:textId="1B542FCA" w:rsidR="00B25622" w:rsidRDefault="00DB40D0" w:rsidP="00DB40D0">
      <w:pPr>
        <w:pStyle w:val="Nextpara"/>
      </w:pPr>
      <w:r>
        <w:t>It is anticipated that a budget of £2M over two years will be provided to support the development of the ITRF</w:t>
      </w:r>
      <w:r w:rsidR="004A538D">
        <w:t>.  This two-year Preliminary Activity will deliver the conceptual design report (CDR) for the facility</w:t>
      </w:r>
      <w:r>
        <w:t xml:space="preserve">.  The ITRF budget will </w:t>
      </w:r>
      <w:r w:rsidR="00CB3982">
        <w:t xml:space="preserve">provide </w:t>
      </w:r>
      <w:r>
        <w:t xml:space="preserve">support </w:t>
      </w:r>
      <w:r w:rsidR="00CB3982">
        <w:t xml:space="preserve">for </w:t>
      </w:r>
      <w:r>
        <w:t xml:space="preserve">the </w:t>
      </w:r>
      <w:r w:rsidR="004A538D">
        <w:t xml:space="preserve">initial </w:t>
      </w:r>
      <w:r>
        <w:t xml:space="preserve">development </w:t>
      </w:r>
      <w:r w:rsidR="004A538D">
        <w:t xml:space="preserve">of </w:t>
      </w:r>
      <w:proofErr w:type="spellStart"/>
      <w:r w:rsidR="004A538D">
        <w:t>LhARA</w:t>
      </w:r>
      <w:proofErr w:type="spellEnd"/>
      <w:r w:rsidR="004A538D">
        <w:t xml:space="preserve"> and </w:t>
      </w:r>
      <w:r w:rsidR="00CB3982">
        <w:t xml:space="preserve">for </w:t>
      </w:r>
      <w:r w:rsidR="004A538D">
        <w:t xml:space="preserve">the consideration of conventional alternatives as </w:t>
      </w:r>
      <w:r w:rsidR="00E94BE3">
        <w:t xml:space="preserve">potential </w:t>
      </w:r>
      <w:r w:rsidR="004A538D">
        <w:t xml:space="preserve">“off ramps” in recognition of the technical risks presented by the </w:t>
      </w:r>
      <w:proofErr w:type="spellStart"/>
      <w:r w:rsidR="004A538D">
        <w:t>LhARA</w:t>
      </w:r>
      <w:proofErr w:type="spellEnd"/>
      <w:r w:rsidR="004A538D">
        <w:t xml:space="preserve"> </w:t>
      </w:r>
      <w:r w:rsidR="00E94BE3">
        <w:t>project</w:t>
      </w:r>
      <w:r w:rsidR="004A538D">
        <w:t>.</w:t>
      </w:r>
    </w:p>
    <w:p w14:paraId="2E143817" w14:textId="61DDF337" w:rsidR="004A538D" w:rsidRDefault="004A538D" w:rsidP="00DB40D0">
      <w:pPr>
        <w:pStyle w:val="Nextpara"/>
      </w:pPr>
      <w:r>
        <w:t xml:space="preserve">The ITRF </w:t>
      </w:r>
      <w:r w:rsidR="00F07511">
        <w:t xml:space="preserve">Preliminary Activity </w:t>
      </w:r>
      <w:r>
        <w:t xml:space="preserve">funding line will provide </w:t>
      </w:r>
      <w:r w:rsidR="00230C52">
        <w:t xml:space="preserve">a total of £1.81M to support the development of </w:t>
      </w:r>
      <w:proofErr w:type="spellStart"/>
      <w:r w:rsidR="00230C52">
        <w:t>LhARA</w:t>
      </w:r>
      <w:proofErr w:type="spellEnd"/>
      <w:r w:rsidR="00230C52">
        <w:t xml:space="preserve"> to serve the ITRF.  This total has been broken down to provide </w:t>
      </w:r>
      <w:r>
        <w:t>£1.4</w:t>
      </w:r>
      <w:r w:rsidR="00F07511">
        <w:t>9</w:t>
      </w:r>
      <w:r w:rsidR="00E94BE3">
        <w:t>M</w:t>
      </w:r>
      <w:r w:rsidR="00F07511">
        <w:t xml:space="preserve"> </w:t>
      </w:r>
      <w:r w:rsidR="00230C52">
        <w:t xml:space="preserve">to support </w:t>
      </w:r>
      <w:proofErr w:type="spellStart"/>
      <w:r w:rsidR="00F07511">
        <w:t>LhARA</w:t>
      </w:r>
      <w:proofErr w:type="spellEnd"/>
      <w:r w:rsidR="00F07511">
        <w:t xml:space="preserve"> technical-risk mitigation and £0.32</w:t>
      </w:r>
      <w:r w:rsidR="00E94BE3">
        <w:t>M</w:t>
      </w:r>
      <w:r w:rsidR="00F07511">
        <w:t xml:space="preserve"> to support the evaluation of the conventional technical facilities and to produce a cost estimate </w:t>
      </w:r>
      <w:r w:rsidR="00F52A46">
        <w:t>of</w:t>
      </w:r>
      <w:r w:rsidR="00F07511">
        <w:t xml:space="preserve"> the facility for inclusion in the CDR.  </w:t>
      </w:r>
    </w:p>
    <w:p w14:paraId="5656DD93" w14:textId="3EC6E8BC" w:rsidR="00230C52" w:rsidRDefault="00B060AD" w:rsidP="00B060AD">
      <w:pPr>
        <w:pStyle w:val="Nextpara"/>
      </w:pPr>
      <w:r>
        <w:t>The panel is invited to assess and comment on:</w:t>
      </w:r>
    </w:p>
    <w:p w14:paraId="62194776" w14:textId="0853790A" w:rsidR="00230C52" w:rsidRDefault="00230C52" w:rsidP="00582DB8">
      <w:pPr>
        <w:pStyle w:val="ListParagraph"/>
      </w:pPr>
      <w:r>
        <w:t>The quality of the science and technology involved in the proposal</w:t>
      </w:r>
      <w:r w:rsidR="00E94BE3">
        <w:t>,</w:t>
      </w:r>
      <w:r>
        <w:t xml:space="preserve"> the stated scientific and technical objectives</w:t>
      </w:r>
      <w:r w:rsidR="00E94BE3">
        <w:t>,</w:t>
      </w:r>
      <w:r>
        <w:t xml:space="preserve"> and </w:t>
      </w:r>
      <w:r w:rsidR="00E94BE3">
        <w:t xml:space="preserve">to </w:t>
      </w:r>
      <w:r>
        <w:t>consider whether</w:t>
      </w:r>
      <w:r w:rsidR="00B060AD">
        <w:t xml:space="preserve"> </w:t>
      </w:r>
      <w:r>
        <w:t xml:space="preserve">the proposal is likely to achieve those </w:t>
      </w:r>
      <w:proofErr w:type="gramStart"/>
      <w:r>
        <w:t>objectives;</w:t>
      </w:r>
      <w:proofErr w:type="gramEnd"/>
    </w:p>
    <w:p w14:paraId="64A3CB33" w14:textId="7238D557" w:rsidR="00230C52" w:rsidRDefault="00230C52" w:rsidP="00E94BE3">
      <w:pPr>
        <w:pStyle w:val="ListParagraph"/>
      </w:pPr>
      <w:r>
        <w:t xml:space="preserve">The likely scientific impact of the project </w:t>
      </w:r>
      <w:r w:rsidR="00E94BE3">
        <w:t>within the UK and internationally</w:t>
      </w:r>
      <w:r w:rsidR="00F52A46">
        <w:t>,</w:t>
      </w:r>
      <w:r w:rsidR="00E94BE3">
        <w:t xml:space="preserve"> </w:t>
      </w:r>
      <w:r>
        <w:t>and the</w:t>
      </w:r>
      <w:r w:rsidR="00B060AD">
        <w:t xml:space="preserve"> </w:t>
      </w:r>
      <w:r>
        <w:t xml:space="preserve">degree to which </w:t>
      </w:r>
      <w:r w:rsidR="00E94BE3">
        <w:t xml:space="preserve">the </w:t>
      </w:r>
      <w:proofErr w:type="spellStart"/>
      <w:r w:rsidR="00E94BE3">
        <w:t>LhARA</w:t>
      </w:r>
      <w:proofErr w:type="spellEnd"/>
      <w:r w:rsidR="00E94BE3">
        <w:t xml:space="preserve"> collaboration’s</w:t>
      </w:r>
      <w:r>
        <w:t xml:space="preserve"> aims and objectives are supported by the relevant</w:t>
      </w:r>
      <w:r w:rsidR="00B060AD">
        <w:t xml:space="preserve"> </w:t>
      </w:r>
      <w:r>
        <w:t xml:space="preserve">scientific </w:t>
      </w:r>
      <w:proofErr w:type="gramStart"/>
      <w:r>
        <w:t>communities;</w:t>
      </w:r>
      <w:proofErr w:type="gramEnd"/>
    </w:p>
    <w:p w14:paraId="7AB74D2C" w14:textId="1F1B42B1" w:rsidR="00230C52" w:rsidRDefault="00230C52" w:rsidP="00582DB8">
      <w:pPr>
        <w:pStyle w:val="ListParagraph"/>
      </w:pPr>
      <w:r>
        <w:t xml:space="preserve">The timeliness of the project and </w:t>
      </w:r>
      <w:r w:rsidR="00E94BE3">
        <w:t xml:space="preserve">its relevance with respect to alternative </w:t>
      </w:r>
      <w:proofErr w:type="gramStart"/>
      <w:r w:rsidR="00E94BE3">
        <w:t>approaches;</w:t>
      </w:r>
      <w:proofErr w:type="gramEnd"/>
      <w:r w:rsidR="00E94BE3">
        <w:t xml:space="preserve"> </w:t>
      </w:r>
    </w:p>
    <w:p w14:paraId="7B2D68AE" w14:textId="5CF61529" w:rsidR="00230C52" w:rsidRDefault="00230C52" w:rsidP="00582DB8">
      <w:pPr>
        <w:pStyle w:val="ListParagraph"/>
      </w:pPr>
      <w:r>
        <w:t>The standing of the groups and collaborators involved in the</w:t>
      </w:r>
      <w:r w:rsidR="00B060AD">
        <w:t xml:space="preserve"> </w:t>
      </w:r>
      <w:r>
        <w:t>project</w:t>
      </w:r>
      <w:r w:rsidR="00E94BE3">
        <w:t>,</w:t>
      </w:r>
      <w:r>
        <w:t xml:space="preserve"> including the track records</w:t>
      </w:r>
      <w:r w:rsidR="00E94BE3">
        <w:t xml:space="preserve"> of the </w:t>
      </w:r>
      <w:proofErr w:type="gramStart"/>
      <w:r w:rsidR="00E94BE3">
        <w:t>proponents</w:t>
      </w:r>
      <w:r>
        <w:t>;</w:t>
      </w:r>
      <w:proofErr w:type="gramEnd"/>
    </w:p>
    <w:p w14:paraId="4D8A427D" w14:textId="0A8DB5D9" w:rsidR="00230C52" w:rsidRDefault="00230C52" w:rsidP="00582DB8">
      <w:pPr>
        <w:pStyle w:val="ListParagraph"/>
      </w:pPr>
      <w:r>
        <w:t>The project management structure, including the alignment between the</w:t>
      </w:r>
      <w:r w:rsidR="00B060AD">
        <w:t xml:space="preserve"> </w:t>
      </w:r>
      <w:proofErr w:type="spellStart"/>
      <w:r>
        <w:t>LhARA</w:t>
      </w:r>
      <w:proofErr w:type="spellEnd"/>
      <w:r>
        <w:t xml:space="preserve"> collaboration and the ITRF, and the procedures required to</w:t>
      </w:r>
      <w:r w:rsidR="00B060AD">
        <w:t xml:space="preserve"> </w:t>
      </w:r>
      <w:r>
        <w:t xml:space="preserve">ensure that the stated project goals are </w:t>
      </w:r>
      <w:proofErr w:type="gramStart"/>
      <w:r>
        <w:t>achieved;</w:t>
      </w:r>
      <w:proofErr w:type="gramEnd"/>
    </w:p>
    <w:p w14:paraId="7E63D409" w14:textId="25D2DA64" w:rsidR="00230C52" w:rsidRDefault="00230C52" w:rsidP="00582DB8">
      <w:pPr>
        <w:pStyle w:val="ListParagraph"/>
      </w:pPr>
      <w:r>
        <w:t>The scientific, technical, schedule, and financial risks attendant on</w:t>
      </w:r>
      <w:r w:rsidR="00B060AD">
        <w:t xml:space="preserve"> </w:t>
      </w:r>
      <w:r>
        <w:t>the project and the degree to which the proposed activity addresses</w:t>
      </w:r>
      <w:r w:rsidR="00B060AD">
        <w:t xml:space="preserve"> </w:t>
      </w:r>
      <w:r>
        <w:t xml:space="preserve">these </w:t>
      </w:r>
      <w:proofErr w:type="gramStart"/>
      <w:r>
        <w:t>risks;</w:t>
      </w:r>
      <w:proofErr w:type="gramEnd"/>
    </w:p>
    <w:p w14:paraId="2A8AF2A3" w14:textId="3A43724A" w:rsidR="00230C52" w:rsidRDefault="00230C52" w:rsidP="00582DB8">
      <w:pPr>
        <w:pStyle w:val="ListParagraph"/>
      </w:pPr>
      <w:r>
        <w:t>The costing and the proposed milestones against which the project will</w:t>
      </w:r>
      <w:r w:rsidR="00B060AD">
        <w:t xml:space="preserve"> </w:t>
      </w:r>
      <w:r>
        <w:t>be monitored; and</w:t>
      </w:r>
    </w:p>
    <w:p w14:paraId="4434A232" w14:textId="2F6D344F" w:rsidR="00230C52" w:rsidRPr="00230C52" w:rsidRDefault="00230C52" w:rsidP="00582DB8">
      <w:pPr>
        <w:pStyle w:val="ListParagraph"/>
      </w:pPr>
      <w:r>
        <w:t>The industrial</w:t>
      </w:r>
      <w:r w:rsidR="00F52A46">
        <w:t>-</w:t>
      </w:r>
      <w:r>
        <w:t>engagement</w:t>
      </w:r>
      <w:r w:rsidR="00F52A46">
        <w:t>,</w:t>
      </w:r>
      <w:r>
        <w:t xml:space="preserve"> outreach, involvement, and</w:t>
      </w:r>
      <w:r w:rsidR="00B060AD">
        <w:t xml:space="preserve"> </w:t>
      </w:r>
      <w:r>
        <w:t>engagement plans.</w:t>
      </w:r>
    </w:p>
    <w:p w14:paraId="54CE2588" w14:textId="541A5294" w:rsidR="00401DAE" w:rsidRDefault="00B060AD" w:rsidP="00B060AD">
      <w:r>
        <w:t xml:space="preserve">The panel Is requested to provide </w:t>
      </w:r>
      <w:r w:rsidR="00F665EA">
        <w:t xml:space="preserve">the Executive Board of the </w:t>
      </w:r>
      <w:proofErr w:type="spellStart"/>
      <w:r w:rsidR="00F665EA">
        <w:t>LhARA</w:t>
      </w:r>
      <w:proofErr w:type="spellEnd"/>
      <w:r w:rsidR="00F665EA">
        <w:t xml:space="preserve"> collaboration with </w:t>
      </w:r>
      <w:r>
        <w:t xml:space="preserve">a written report </w:t>
      </w:r>
      <w:r w:rsidR="00F665EA">
        <w:t>suitable for transmission to the STFC and other stakeholders within 30 days of the completion of the review.</w:t>
      </w:r>
    </w:p>
    <w:p w14:paraId="3D8EE1AE" w14:textId="7E5E336E" w:rsidR="00B060AD" w:rsidRDefault="00F52A46" w:rsidP="00F665EA">
      <w:pPr>
        <w:pStyle w:val="Heading2"/>
      </w:pPr>
      <w:r>
        <w:t>Process and review panel</w:t>
      </w:r>
      <w:r w:rsidR="00F665EA">
        <w:t>:</w:t>
      </w:r>
    </w:p>
    <w:p w14:paraId="2B7E896D" w14:textId="77777777" w:rsidR="00F665EA" w:rsidRDefault="00F665EA" w:rsidP="00F665EA">
      <w:r>
        <w:t>The review will take place remotely and will be split into two parts focussing on:</w:t>
      </w:r>
    </w:p>
    <w:p w14:paraId="4DD67A84" w14:textId="77777777" w:rsidR="00F665EA" w:rsidRDefault="00F665EA" w:rsidP="00582DB8">
      <w:pPr>
        <w:pStyle w:val="ListParagraph"/>
        <w:numPr>
          <w:ilvl w:val="0"/>
          <w:numId w:val="6"/>
        </w:numPr>
      </w:pPr>
      <w:r>
        <w:t xml:space="preserve">The machine and associated technology; and </w:t>
      </w:r>
    </w:p>
    <w:p w14:paraId="025C975E" w14:textId="6F2256E1" w:rsidR="00F665EA" w:rsidRDefault="00F665EA" w:rsidP="00582DB8">
      <w:pPr>
        <w:pStyle w:val="ListParagraph"/>
        <w:numPr>
          <w:ilvl w:val="0"/>
          <w:numId w:val="6"/>
        </w:numPr>
      </w:pPr>
      <w:r>
        <w:t>Radiobiology and longer</w:t>
      </w:r>
      <w:r w:rsidR="00680B96">
        <w:t>-</w:t>
      </w:r>
      <w:r>
        <w:t xml:space="preserve">term ambitions. </w:t>
      </w:r>
    </w:p>
    <w:p w14:paraId="75184133" w14:textId="58ED899B" w:rsidR="00F665EA" w:rsidRDefault="00F665EA" w:rsidP="00F665EA">
      <w:r>
        <w:t>In addition to the International Advisory Board</w:t>
      </w:r>
      <w:r w:rsidR="00680B96">
        <w:t xml:space="preserve"> of Imperial’s Centre for the Clinical Application of Particles (the CCAP)</w:t>
      </w:r>
      <w:r>
        <w:t xml:space="preserve">, around 3-4 external reviewers will be invited </w:t>
      </w:r>
      <w:r w:rsidR="00680B96">
        <w:t>with expertise in relevant scientific, technical, and project-management fields.</w:t>
      </w:r>
      <w:r>
        <w:t xml:space="preserve">  The present panel membership is:</w:t>
      </w:r>
    </w:p>
    <w:p w14:paraId="6C1CEAF9" w14:textId="77777777" w:rsidR="00F665EA" w:rsidRDefault="00F665EA" w:rsidP="00582DB8">
      <w:pPr>
        <w:pStyle w:val="ListParagraph"/>
      </w:pPr>
      <w:r>
        <w:t xml:space="preserve">CCAP IAB participants: </w:t>
      </w:r>
    </w:p>
    <w:p w14:paraId="1AFEF204" w14:textId="77777777" w:rsidR="00A92EF3" w:rsidRDefault="00F665EA" w:rsidP="00680B96">
      <w:pPr>
        <w:pStyle w:val="ListParagraph"/>
        <w:numPr>
          <w:ilvl w:val="1"/>
          <w:numId w:val="5"/>
        </w:numPr>
      </w:pPr>
      <w:r>
        <w:t>Mike Lamont</w:t>
      </w:r>
      <w:r w:rsidR="00A92EF3">
        <w:t xml:space="preserve"> (CERN</w:t>
      </w:r>
      <w:r>
        <w:t xml:space="preserve">, </w:t>
      </w:r>
      <w:r w:rsidR="00A92EF3">
        <w:t>Chair)</w:t>
      </w:r>
    </w:p>
    <w:p w14:paraId="783E7722" w14:textId="77777777" w:rsidR="00A92EF3" w:rsidRDefault="00F665EA" w:rsidP="00680B96">
      <w:pPr>
        <w:pStyle w:val="ListParagraph"/>
        <w:numPr>
          <w:ilvl w:val="1"/>
          <w:numId w:val="5"/>
        </w:numPr>
      </w:pPr>
      <w:r>
        <w:lastRenderedPageBreak/>
        <w:t xml:space="preserve">Brita Singers </w:t>
      </w:r>
      <w:proofErr w:type="spellStart"/>
      <w:r>
        <w:t>Sørensen</w:t>
      </w:r>
      <w:proofErr w:type="spellEnd"/>
      <w:r w:rsidR="00A92EF3">
        <w:t xml:space="preserve"> ()</w:t>
      </w:r>
    </w:p>
    <w:p w14:paraId="515D2EF8" w14:textId="77777777" w:rsidR="00A92EF3" w:rsidRDefault="00F665EA" w:rsidP="00680B96">
      <w:pPr>
        <w:pStyle w:val="ListParagraph"/>
        <w:numPr>
          <w:ilvl w:val="1"/>
          <w:numId w:val="5"/>
        </w:numPr>
      </w:pPr>
      <w:r>
        <w:t>Paul Bolton</w:t>
      </w:r>
      <w:r w:rsidR="00A92EF3">
        <w:t xml:space="preserve"> ()</w:t>
      </w:r>
    </w:p>
    <w:p w14:paraId="4C67C55C" w14:textId="780F12AE" w:rsidR="00F665EA" w:rsidRDefault="00F665EA" w:rsidP="00680B96">
      <w:pPr>
        <w:pStyle w:val="ListParagraph"/>
        <w:numPr>
          <w:ilvl w:val="1"/>
          <w:numId w:val="5"/>
        </w:numPr>
      </w:pPr>
      <w:r>
        <w:t>Michael Baumann</w:t>
      </w:r>
      <w:r w:rsidR="00A92EF3">
        <w:t xml:space="preserve"> ()</w:t>
      </w:r>
    </w:p>
    <w:p w14:paraId="6BC14F1E" w14:textId="6EFAB35C" w:rsidR="00680B96" w:rsidRDefault="00A92EF3" w:rsidP="00680B96">
      <w:r>
        <w:t>T</w:t>
      </w:r>
      <w:r w:rsidR="00680B96">
        <w:t>he two expert panels:</w:t>
      </w:r>
    </w:p>
    <w:p w14:paraId="7E5AE4E3" w14:textId="35F0A39B" w:rsidR="00F665EA" w:rsidRDefault="00F665EA" w:rsidP="00680B96">
      <w:pPr>
        <w:pStyle w:val="ListParagraph"/>
        <w:numPr>
          <w:ilvl w:val="0"/>
          <w:numId w:val="7"/>
        </w:numPr>
      </w:pPr>
      <w:r>
        <w:t>Part I: Machine and associated technology</w:t>
      </w:r>
    </w:p>
    <w:p w14:paraId="54FA4EEF" w14:textId="77777777" w:rsidR="00A92EF3" w:rsidRDefault="00A92EF3" w:rsidP="00582DB8">
      <w:pPr>
        <w:pStyle w:val="ListParagraph"/>
        <w:numPr>
          <w:ilvl w:val="1"/>
          <w:numId w:val="5"/>
        </w:numPr>
      </w:pPr>
      <w:r>
        <w:t>C</w:t>
      </w:r>
      <w:r w:rsidR="00F665EA">
        <w:t xml:space="preserve">hair: </w:t>
      </w:r>
    </w:p>
    <w:p w14:paraId="000BCE7B" w14:textId="2F8679C5" w:rsidR="00F665EA" w:rsidRDefault="00F665EA" w:rsidP="00A92EF3">
      <w:pPr>
        <w:pStyle w:val="ListParagraph"/>
        <w:numPr>
          <w:ilvl w:val="2"/>
          <w:numId w:val="5"/>
        </w:numPr>
      </w:pPr>
      <w:r>
        <w:t xml:space="preserve">Gianluigi </w:t>
      </w:r>
      <w:proofErr w:type="spellStart"/>
      <w:r>
        <w:t>Arduini</w:t>
      </w:r>
      <w:proofErr w:type="spellEnd"/>
    </w:p>
    <w:p w14:paraId="55CBA5BE" w14:textId="77777777" w:rsidR="00A92EF3" w:rsidRDefault="00A92EF3" w:rsidP="00F665EA">
      <w:pPr>
        <w:pStyle w:val="ListParagraph"/>
        <w:numPr>
          <w:ilvl w:val="1"/>
          <w:numId w:val="5"/>
        </w:numPr>
      </w:pPr>
      <w:proofErr w:type="spellStart"/>
      <w:r>
        <w:t>A</w:t>
      </w:r>
      <w:r w:rsidR="00F665EA">
        <w:t>ditional</w:t>
      </w:r>
      <w:proofErr w:type="spellEnd"/>
      <w:r w:rsidR="00F665EA">
        <w:t xml:space="preserve"> experts: </w:t>
      </w:r>
    </w:p>
    <w:p w14:paraId="1AFCF580" w14:textId="77777777" w:rsidR="00A92EF3" w:rsidRDefault="00F665EA" w:rsidP="00A92EF3">
      <w:pPr>
        <w:pStyle w:val="ListParagraph"/>
        <w:numPr>
          <w:ilvl w:val="2"/>
          <w:numId w:val="5"/>
        </w:numPr>
      </w:pPr>
      <w:r>
        <w:t>Malek Haj Tahar (PSI)</w:t>
      </w:r>
    </w:p>
    <w:p w14:paraId="074788E2" w14:textId="0A5932C2" w:rsidR="00F665EA" w:rsidRDefault="00F665EA" w:rsidP="00A92EF3">
      <w:pPr>
        <w:pStyle w:val="ListParagraph"/>
        <w:numPr>
          <w:ilvl w:val="2"/>
          <w:numId w:val="5"/>
        </w:numPr>
      </w:pPr>
      <w:r>
        <w:t>Christian Carli (CERN)</w:t>
      </w:r>
    </w:p>
    <w:p w14:paraId="5E5AEAE4" w14:textId="77777777" w:rsidR="00F665EA" w:rsidRDefault="00F665EA" w:rsidP="00582DB8">
      <w:pPr>
        <w:pStyle w:val="ListParagraph"/>
      </w:pPr>
      <w:r>
        <w:t xml:space="preserve">Part II: Radiobiology and </w:t>
      </w:r>
      <w:proofErr w:type="gramStart"/>
      <w:r>
        <w:t>longer term</w:t>
      </w:r>
      <w:proofErr w:type="gramEnd"/>
      <w:r>
        <w:t xml:space="preserve"> ambitions</w:t>
      </w:r>
    </w:p>
    <w:p w14:paraId="03EEC121" w14:textId="754C9B3D" w:rsidR="00F665EA" w:rsidRDefault="00F665EA" w:rsidP="00582DB8">
      <w:pPr>
        <w:pStyle w:val="ListParagraph"/>
        <w:numPr>
          <w:ilvl w:val="1"/>
          <w:numId w:val="5"/>
        </w:numPr>
      </w:pPr>
      <w:r>
        <w:t>Chair/additional experts: to be confirmed</w:t>
      </w:r>
    </w:p>
    <w:p w14:paraId="2D4C394D" w14:textId="66EC4D96" w:rsidR="00A92EF3" w:rsidRDefault="00A92EF3" w:rsidP="00A92EF3">
      <w:pPr>
        <w:pStyle w:val="Heading2"/>
      </w:pPr>
      <w:r>
        <w:t>Timetable</w:t>
      </w:r>
    </w:p>
    <w:p w14:paraId="12695700" w14:textId="6E3B56DD" w:rsidR="00A92EF3" w:rsidRDefault="00A92EF3" w:rsidP="00A92EF3"/>
    <w:p w14:paraId="75806181" w14:textId="59299091" w:rsidR="00A92EF3" w:rsidRDefault="00A92EF3" w:rsidP="00A92EF3"/>
    <w:p w14:paraId="2A9BEA83" w14:textId="3A806348" w:rsidR="00A92EF3" w:rsidRDefault="00A92EF3" w:rsidP="00A92EF3"/>
    <w:p w14:paraId="6A6D83C4" w14:textId="3B250EBF" w:rsidR="00A92EF3" w:rsidRDefault="00A92EF3" w:rsidP="00A92EF3">
      <w:pPr>
        <w:pStyle w:val="Heading2"/>
      </w:pPr>
      <w:r>
        <w:t>Documentation</w:t>
      </w:r>
    </w:p>
    <w:p w14:paraId="17B39825" w14:textId="77777777" w:rsidR="00A92EF3" w:rsidRPr="00A92EF3" w:rsidRDefault="00A92EF3" w:rsidP="00A92EF3"/>
    <w:sectPr w:rsidR="00A92EF3" w:rsidRPr="00A92EF3" w:rsidSect="00C42795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F63DA" w14:textId="77777777" w:rsidR="00232EE3" w:rsidRDefault="00232EE3" w:rsidP="00CB3982">
      <w:pPr>
        <w:spacing w:before="0" w:after="0" w:line="240" w:lineRule="auto"/>
      </w:pPr>
      <w:r>
        <w:separator/>
      </w:r>
    </w:p>
  </w:endnote>
  <w:endnote w:type="continuationSeparator" w:id="0">
    <w:p w14:paraId="002F4FD5" w14:textId="77777777" w:rsidR="00232EE3" w:rsidRDefault="00232EE3" w:rsidP="00CB39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D432C" w14:textId="77777777" w:rsidR="00232EE3" w:rsidRDefault="00232EE3" w:rsidP="00CB3982">
      <w:pPr>
        <w:spacing w:before="0" w:after="0" w:line="240" w:lineRule="auto"/>
      </w:pPr>
      <w:r>
        <w:separator/>
      </w:r>
    </w:p>
  </w:footnote>
  <w:footnote w:type="continuationSeparator" w:id="0">
    <w:p w14:paraId="6EF22E38" w14:textId="77777777" w:rsidR="00232EE3" w:rsidRDefault="00232EE3" w:rsidP="00CB39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31BE" w14:textId="5F4C62B5" w:rsidR="00CB3982" w:rsidRDefault="00CB3982">
    <w:pPr>
      <w:pStyle w:val="Header"/>
    </w:pPr>
    <w:r>
      <w:t>LhARA-EB-2022-02</w:t>
    </w:r>
    <w:r>
      <w:tab/>
      <w:t>Draft 0.0</w:t>
    </w:r>
    <w:r>
      <w:tab/>
    </w:r>
    <w:r>
      <w:fldChar w:fldCharType="begin"/>
    </w:r>
    <w:r>
      <w:instrText xml:space="preserve"> DATE \@ "d MMMM yyyy" </w:instrText>
    </w:r>
    <w:r>
      <w:fldChar w:fldCharType="separate"/>
    </w:r>
    <w:r w:rsidR="00F52A46">
      <w:rPr>
        <w:noProof/>
      </w:rPr>
      <w:t>13 June 2022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52D52"/>
    <w:multiLevelType w:val="hybridMultilevel"/>
    <w:tmpl w:val="E31C40EC"/>
    <w:lvl w:ilvl="0" w:tplc="E4426AD6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B4328"/>
    <w:multiLevelType w:val="hybridMultilevel"/>
    <w:tmpl w:val="416C26D8"/>
    <w:lvl w:ilvl="0" w:tplc="0484856E">
      <w:start w:val="1"/>
      <w:numFmt w:val="bullet"/>
      <w:pStyle w:val="KL-point-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72013"/>
    <w:multiLevelType w:val="hybridMultilevel"/>
    <w:tmpl w:val="4A7840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32557"/>
    <w:multiLevelType w:val="hybridMultilevel"/>
    <w:tmpl w:val="89C02C90"/>
    <w:lvl w:ilvl="0" w:tplc="95AA1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52EB1"/>
    <w:multiLevelType w:val="hybridMultilevel"/>
    <w:tmpl w:val="D10C41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87323"/>
    <w:multiLevelType w:val="hybridMultilevel"/>
    <w:tmpl w:val="91F044FC"/>
    <w:lvl w:ilvl="0" w:tplc="F7F07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843114">
    <w:abstractNumId w:val="3"/>
  </w:num>
  <w:num w:numId="2" w16cid:durableId="1395543371">
    <w:abstractNumId w:val="3"/>
  </w:num>
  <w:num w:numId="3" w16cid:durableId="1510214996">
    <w:abstractNumId w:val="5"/>
  </w:num>
  <w:num w:numId="4" w16cid:durableId="249310580">
    <w:abstractNumId w:val="1"/>
  </w:num>
  <w:num w:numId="5" w16cid:durableId="775636926">
    <w:abstractNumId w:val="0"/>
  </w:num>
  <w:num w:numId="6" w16cid:durableId="1688172045">
    <w:abstractNumId w:val="2"/>
  </w:num>
  <w:num w:numId="7" w16cid:durableId="18124010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1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87D"/>
    <w:rsid w:val="00032332"/>
    <w:rsid w:val="000564A9"/>
    <w:rsid w:val="000961D0"/>
    <w:rsid w:val="000A2B1E"/>
    <w:rsid w:val="00162168"/>
    <w:rsid w:val="001934B0"/>
    <w:rsid w:val="002064DD"/>
    <w:rsid w:val="00230C52"/>
    <w:rsid w:val="00232EE3"/>
    <w:rsid w:val="002F3BE7"/>
    <w:rsid w:val="00401DAE"/>
    <w:rsid w:val="004A538D"/>
    <w:rsid w:val="00520861"/>
    <w:rsid w:val="00582DB8"/>
    <w:rsid w:val="005D7678"/>
    <w:rsid w:val="00644A45"/>
    <w:rsid w:val="006545B6"/>
    <w:rsid w:val="00680B96"/>
    <w:rsid w:val="00695235"/>
    <w:rsid w:val="006B09B6"/>
    <w:rsid w:val="006C044B"/>
    <w:rsid w:val="006F46CE"/>
    <w:rsid w:val="0083287D"/>
    <w:rsid w:val="008A42A9"/>
    <w:rsid w:val="008D1BA4"/>
    <w:rsid w:val="00924375"/>
    <w:rsid w:val="009A04C1"/>
    <w:rsid w:val="009E012E"/>
    <w:rsid w:val="00A33F8F"/>
    <w:rsid w:val="00A62684"/>
    <w:rsid w:val="00A92EF3"/>
    <w:rsid w:val="00B060AD"/>
    <w:rsid w:val="00B17678"/>
    <w:rsid w:val="00B25622"/>
    <w:rsid w:val="00B576B7"/>
    <w:rsid w:val="00B855BC"/>
    <w:rsid w:val="00BA7A86"/>
    <w:rsid w:val="00BB2052"/>
    <w:rsid w:val="00C021B8"/>
    <w:rsid w:val="00C42795"/>
    <w:rsid w:val="00C5246D"/>
    <w:rsid w:val="00C7793E"/>
    <w:rsid w:val="00CA1122"/>
    <w:rsid w:val="00CB3982"/>
    <w:rsid w:val="00D51F6F"/>
    <w:rsid w:val="00DB40D0"/>
    <w:rsid w:val="00DE7DF5"/>
    <w:rsid w:val="00E426CB"/>
    <w:rsid w:val="00E76BA1"/>
    <w:rsid w:val="00E94BE3"/>
    <w:rsid w:val="00F07511"/>
    <w:rsid w:val="00F47A5C"/>
    <w:rsid w:val="00F52A46"/>
    <w:rsid w:val="00F61D62"/>
    <w:rsid w:val="00F665EA"/>
    <w:rsid w:val="00FC3B7E"/>
    <w:rsid w:val="00FD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7ABFA2"/>
  <w14:defaultImageDpi w14:val="32767"/>
  <w15:chartTrackingRefBased/>
  <w15:docId w15:val="{A1D5FC86-2E38-EA4A-B204-FD233B9A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564A9"/>
    <w:pPr>
      <w:spacing w:before="60" w:after="60" w:line="260" w:lineRule="atLeast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64A9"/>
    <w:pPr>
      <w:keepNext/>
      <w:keepLines/>
      <w:spacing w:before="120" w:after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64A9"/>
    <w:pPr>
      <w:keepNext/>
      <w:keepLines/>
      <w:spacing w:before="120" w:after="120" w:line="300" w:lineRule="atLeast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64A9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rsid w:val="00582DB8"/>
    <w:pPr>
      <w:numPr>
        <w:numId w:val="5"/>
      </w:numPr>
      <w:contextualSpacing/>
    </w:pPr>
  </w:style>
  <w:style w:type="paragraph" w:customStyle="1" w:styleId="Nextpara">
    <w:name w:val="Next para"/>
    <w:basedOn w:val="Normal"/>
    <w:autoRedefine/>
    <w:qFormat/>
    <w:rsid w:val="000564A9"/>
    <w:pPr>
      <w:ind w:firstLine="284"/>
    </w:pPr>
    <w:rPr>
      <w:lang w:val="en-US"/>
    </w:rPr>
  </w:style>
  <w:style w:type="paragraph" w:customStyle="1" w:styleId="NextPara0">
    <w:name w:val="NextPara"/>
    <w:basedOn w:val="Normal"/>
    <w:qFormat/>
    <w:rsid w:val="002F3BE7"/>
    <w:pPr>
      <w:ind w:firstLine="210"/>
    </w:pPr>
  </w:style>
  <w:style w:type="paragraph" w:customStyle="1" w:styleId="Pub1">
    <w:name w:val="Pub1"/>
    <w:basedOn w:val="Normal"/>
    <w:autoRedefine/>
    <w:qFormat/>
    <w:rsid w:val="002F3BE7"/>
    <w:pPr>
      <w:ind w:left="550" w:hanging="312"/>
      <w:jc w:val="left"/>
    </w:pPr>
  </w:style>
  <w:style w:type="paragraph" w:customStyle="1" w:styleId="Sctn1">
    <w:name w:val="Sctn1"/>
    <w:basedOn w:val="Normal"/>
    <w:next w:val="Normal"/>
    <w:qFormat/>
    <w:rsid w:val="002F3BE7"/>
    <w:pPr>
      <w:spacing w:after="0"/>
      <w:ind w:left="284" w:hanging="284"/>
    </w:pPr>
    <w:rPr>
      <w:b/>
      <w:szCs w:val="22"/>
    </w:rPr>
  </w:style>
  <w:style w:type="paragraph" w:customStyle="1" w:styleId="Sctn2">
    <w:name w:val="Sctn2"/>
    <w:basedOn w:val="Sctn1"/>
    <w:next w:val="Normal"/>
    <w:qFormat/>
    <w:rsid w:val="002F3BE7"/>
    <w:rPr>
      <w:b w:val="0"/>
      <w:i/>
      <w:u w:val="single"/>
    </w:rPr>
  </w:style>
  <w:style w:type="paragraph" w:customStyle="1" w:styleId="KL-point-1">
    <w:name w:val="KL-point-1"/>
    <w:basedOn w:val="ListParagraph"/>
    <w:next w:val="Normal"/>
    <w:qFormat/>
    <w:rsid w:val="000564A9"/>
    <w:pPr>
      <w:numPr>
        <w:numId w:val="4"/>
      </w:numPr>
      <w:spacing w:before="120" w:line="280" w:lineRule="atLeast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564A9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64A9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564A9"/>
    <w:rPr>
      <w:rFonts w:asciiTheme="majorHAnsi" w:eastAsiaTheme="majorEastAsia" w:hAnsiTheme="majorHAnsi" w:cstheme="majorBidi"/>
      <w:b/>
      <w:color w:val="1F3763" w:themeColor="accent1" w:themeShade="7F"/>
      <w:sz w:val="22"/>
    </w:rPr>
  </w:style>
  <w:style w:type="character" w:styleId="Hyperlink">
    <w:name w:val="Hyperlink"/>
    <w:basedOn w:val="DefaultParagraphFont"/>
    <w:uiPriority w:val="99"/>
    <w:unhideWhenUsed/>
    <w:rsid w:val="00B256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2562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B398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982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CB398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982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ap.hep.ph.ic.ac.uk/trac/raw-attachment/wiki/Research/DesignStudy/Proposals/2021/2021-06-15-ITRF-1-page-Final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cap.hep.ph.ic.ac.uk/trac/raw-attachment/wiki/Communication/Notes/CCAP-TN-10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cap.hep.ph.ic.ac.uk/trac/raw-attachment/wiki/Communication/Notes/CCAP-TN-1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Long, Kenneth R</dc:creator>
  <cp:keywords/>
  <dc:description/>
  <cp:lastModifiedBy>Long, Kenneth R</cp:lastModifiedBy>
  <cp:revision>3</cp:revision>
  <dcterms:created xsi:type="dcterms:W3CDTF">2022-06-13T14:55:00Z</dcterms:created>
  <dcterms:modified xsi:type="dcterms:W3CDTF">2022-06-13T17:23:00Z</dcterms:modified>
</cp:coreProperties>
</file>