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42C8" w14:textId="6B6C3B9C" w:rsidR="00804C0F" w:rsidRDefault="00CD61B9" w:rsidP="00CD61B9">
      <w:pPr>
        <w:pStyle w:val="Heading1"/>
        <w:spacing w:after="0"/>
        <w:rPr>
          <w:lang w:val="en-GB"/>
        </w:rPr>
      </w:pPr>
      <w:r>
        <w:rPr>
          <w:lang w:val="en-GB"/>
        </w:rPr>
        <w:t xml:space="preserve">Response to “ITRF – </w:t>
      </w:r>
      <w:proofErr w:type="spellStart"/>
      <w:r>
        <w:rPr>
          <w:lang w:val="en-GB"/>
        </w:rPr>
        <w:t>LhARA</w:t>
      </w:r>
      <w:proofErr w:type="spellEnd"/>
      <w:r>
        <w:rPr>
          <w:lang w:val="en-GB"/>
        </w:rPr>
        <w:t xml:space="preserve"> Working Methods”</w:t>
      </w:r>
    </w:p>
    <w:p w14:paraId="3237B6A0" w14:textId="0E813E42" w:rsidR="00CD61B9" w:rsidRPr="00CD61B9" w:rsidRDefault="00CD61B9" w:rsidP="00CD61B9">
      <w:pPr>
        <w:rPr>
          <w:i/>
          <w:iCs/>
          <w:sz w:val="20"/>
          <w:szCs w:val="21"/>
          <w:lang w:val="en-GB"/>
        </w:rPr>
      </w:pPr>
      <w:r w:rsidRPr="00CD61B9">
        <w:rPr>
          <w:i/>
          <w:iCs/>
          <w:sz w:val="20"/>
          <w:szCs w:val="21"/>
          <w:lang w:val="en-GB"/>
        </w:rPr>
        <w:t xml:space="preserve">STFC document name: 1272-pm-pmp-0003-v1.0-itrf </w:t>
      </w:r>
      <w:proofErr w:type="spellStart"/>
      <w:r w:rsidRPr="00CD61B9">
        <w:rPr>
          <w:i/>
          <w:iCs/>
          <w:sz w:val="20"/>
          <w:szCs w:val="21"/>
          <w:lang w:val="en-GB"/>
        </w:rPr>
        <w:t>lhara</w:t>
      </w:r>
      <w:proofErr w:type="spellEnd"/>
      <w:r w:rsidRPr="00CD61B9">
        <w:rPr>
          <w:i/>
          <w:iCs/>
          <w:sz w:val="20"/>
          <w:szCs w:val="21"/>
          <w:lang w:val="en-GB"/>
        </w:rPr>
        <w:t xml:space="preserve"> working methods.docx</w:t>
      </w:r>
    </w:p>
    <w:p w14:paraId="5A025D00" w14:textId="7497C5F2" w:rsidR="00BF0C1C" w:rsidRDefault="00CD61B9" w:rsidP="00440C8B">
      <w:pPr>
        <w:jc w:val="right"/>
        <w:rPr>
          <w:lang w:val="en-GB"/>
        </w:rPr>
      </w:pPr>
      <w:proofErr w:type="spellStart"/>
      <w:r w:rsidRPr="00DC630E">
        <w:rPr>
          <w:i/>
          <w:iCs/>
          <w:u w:val="single"/>
          <w:lang w:val="en-GB"/>
        </w:rPr>
        <w:t>LhARA</w:t>
      </w:r>
      <w:proofErr w:type="spellEnd"/>
      <w:r w:rsidRPr="00DC630E">
        <w:rPr>
          <w:i/>
          <w:iCs/>
          <w:u w:val="single"/>
          <w:lang w:val="en-GB"/>
        </w:rPr>
        <w:t xml:space="preserve"> EB</w:t>
      </w:r>
      <w:r w:rsidR="00534103">
        <w:rPr>
          <w:lang w:val="en-GB"/>
        </w:rPr>
        <w:t>:</w:t>
      </w:r>
      <w:r w:rsidR="00F40941">
        <w:rPr>
          <w:lang w:val="en-GB"/>
        </w:rPr>
        <w:t xml:space="preserve"> </w:t>
      </w:r>
      <w:r w:rsidR="00DC630E">
        <w:rPr>
          <w:lang w:val="en-GB"/>
        </w:rPr>
        <w:br/>
      </w:r>
      <w:r w:rsidR="00F40941">
        <w:rPr>
          <w:lang w:val="en-GB"/>
        </w:rPr>
        <w:t>A. </w:t>
      </w:r>
      <w:proofErr w:type="spellStart"/>
      <w:r w:rsidR="00F40941">
        <w:rPr>
          <w:lang w:val="en-GB"/>
        </w:rPr>
        <w:t>Giacca</w:t>
      </w:r>
      <w:proofErr w:type="spellEnd"/>
      <w:r w:rsidR="00F40941">
        <w:rPr>
          <w:lang w:val="en-GB"/>
        </w:rPr>
        <w:t>, T.</w:t>
      </w:r>
      <w:r w:rsidR="00A3096C">
        <w:rPr>
          <w:lang w:val="en-GB"/>
        </w:rPr>
        <w:t> </w:t>
      </w:r>
      <w:r w:rsidR="00F40941">
        <w:rPr>
          <w:lang w:val="en-GB"/>
        </w:rPr>
        <w:t xml:space="preserve">Greenshaw, </w:t>
      </w:r>
      <w:r w:rsidR="00DC630E">
        <w:rPr>
          <w:lang w:val="en-GB"/>
        </w:rPr>
        <w:t>K. Long, J.</w:t>
      </w:r>
      <w:r w:rsidR="00A3096C">
        <w:rPr>
          <w:lang w:val="en-GB"/>
        </w:rPr>
        <w:t> </w:t>
      </w:r>
      <w:r w:rsidR="00DC630E">
        <w:rPr>
          <w:lang w:val="en-GB"/>
        </w:rPr>
        <w:t>Parsons, Y. </w:t>
      </w:r>
      <w:proofErr w:type="spellStart"/>
      <w:r w:rsidR="00DC630E">
        <w:rPr>
          <w:lang w:val="en-GB"/>
        </w:rPr>
        <w:t>Prezado</w:t>
      </w:r>
      <w:proofErr w:type="spellEnd"/>
      <w:r w:rsidR="00DC630E">
        <w:rPr>
          <w:lang w:val="en-GB"/>
        </w:rPr>
        <w:t>, P. Price, C.</w:t>
      </w:r>
      <w:r w:rsidR="00A3096C">
        <w:rPr>
          <w:lang w:val="en-GB"/>
        </w:rPr>
        <w:t> </w:t>
      </w:r>
      <w:r w:rsidR="00DC630E">
        <w:rPr>
          <w:lang w:val="en-GB"/>
        </w:rPr>
        <w:t>Whyte</w:t>
      </w:r>
      <w:r w:rsidR="00DC630E">
        <w:rPr>
          <w:color w:val="FF0000"/>
          <w:lang w:val="en-GB"/>
        </w:rPr>
        <w:t xml:space="preserve"> </w:t>
      </w:r>
    </w:p>
    <w:p w14:paraId="05C9F1A7" w14:textId="3B357C60" w:rsidR="009F6E55" w:rsidRPr="009F6E55" w:rsidRDefault="006D5EE7" w:rsidP="009F6E55">
      <w:pPr>
        <w:pStyle w:val="Heading2"/>
        <w:rPr>
          <w:lang w:val="en-GB"/>
        </w:rPr>
      </w:pPr>
      <w:r>
        <w:rPr>
          <w:lang w:val="en-GB"/>
        </w:rPr>
        <w:t xml:space="preserve">1. </w:t>
      </w:r>
      <w:r w:rsidR="009F6E55">
        <w:rPr>
          <w:lang w:val="en-GB"/>
        </w:rPr>
        <w:t>Preamble</w:t>
      </w:r>
    </w:p>
    <w:p w14:paraId="662644DE" w14:textId="37CB4788" w:rsidR="00BF0C1C" w:rsidRDefault="00440C8B" w:rsidP="00440C8B">
      <w:pPr>
        <w:pStyle w:val="Point"/>
      </w:pPr>
      <w:r w:rsidRPr="00440C8B">
        <w:t>1.</w:t>
      </w:r>
      <w:r>
        <w:tab/>
      </w:r>
      <w:r w:rsidR="00CF7EBD">
        <w:t xml:space="preserve">The </w:t>
      </w:r>
      <w:proofErr w:type="spellStart"/>
      <w:r w:rsidR="00CF7EBD">
        <w:t>LhARA</w:t>
      </w:r>
      <w:proofErr w:type="spellEnd"/>
      <w:r w:rsidR="00CF7EBD">
        <w:t xml:space="preserve"> Executive Board welcomes the initiative to set out the working relationship between the Ion Therapy Research Facility (ITRF) Project Management, the </w:t>
      </w:r>
      <w:proofErr w:type="spellStart"/>
      <w:r w:rsidR="00CF7EBD">
        <w:t>LhARA</w:t>
      </w:r>
      <w:proofErr w:type="spellEnd"/>
      <w:r w:rsidR="00CF7EBD">
        <w:t xml:space="preserve"> Projec</w:t>
      </w:r>
      <w:r w:rsidR="00534103">
        <w:t>t</w:t>
      </w:r>
      <w:r w:rsidR="00CF7EBD">
        <w:t xml:space="preserve"> and the </w:t>
      </w:r>
      <w:proofErr w:type="spellStart"/>
      <w:r w:rsidR="00CF7EBD">
        <w:t>LhARA</w:t>
      </w:r>
      <w:proofErr w:type="spellEnd"/>
      <w:r w:rsidR="00CF7EBD">
        <w:t xml:space="preserve"> collaboration.</w:t>
      </w:r>
    </w:p>
    <w:p w14:paraId="73395FF6" w14:textId="2C480D80" w:rsidR="00B61521" w:rsidRDefault="00B61521" w:rsidP="00B61521">
      <w:pPr>
        <w:pStyle w:val="Heading2"/>
      </w:pPr>
      <w:r>
        <w:t xml:space="preserve">2. </w:t>
      </w:r>
      <w:r w:rsidR="006D5EE7">
        <w:t>General observations</w:t>
      </w:r>
    </w:p>
    <w:p w14:paraId="5C35D0D6" w14:textId="4D09121E" w:rsidR="00527EFD" w:rsidRDefault="00DF5E5C" w:rsidP="00DF5E5C">
      <w:pPr>
        <w:pStyle w:val="Point"/>
      </w:pPr>
      <w:r>
        <w:t>2.1</w:t>
      </w:r>
      <w:r>
        <w:tab/>
      </w:r>
      <w:r w:rsidR="006D5EE7">
        <w:t xml:space="preserve">The </w:t>
      </w:r>
      <w:proofErr w:type="spellStart"/>
      <w:r w:rsidR="006D5EE7">
        <w:t>LhARA</w:t>
      </w:r>
      <w:proofErr w:type="spellEnd"/>
      <w:r w:rsidR="006D5EE7">
        <w:t xml:space="preserve"> collaboration notes the resource allocation defined in the table on page 6.  While reluctantly accepting the allocation, the collaboration </w:t>
      </w:r>
      <w:r w:rsidR="008A0720">
        <w:t xml:space="preserve">does not agree that this </w:t>
      </w:r>
      <w:r w:rsidR="009555CA">
        <w:t>provides the best mitigation of risk.</w:t>
      </w:r>
      <w:r w:rsidR="008A0720">
        <w:t xml:space="preserve"> </w:t>
      </w:r>
    </w:p>
    <w:p w14:paraId="1152F579" w14:textId="3DAE79E6" w:rsidR="00527EFD" w:rsidRDefault="00527EFD" w:rsidP="00DF5E5C">
      <w:pPr>
        <w:pStyle w:val="Point"/>
      </w:pPr>
      <w:r>
        <w:t>2.2</w:t>
      </w:r>
      <w:r>
        <w:tab/>
        <w:t>As the collaboration argued consistently in the ITRF/</w:t>
      </w:r>
      <w:proofErr w:type="spellStart"/>
      <w:r>
        <w:t>LhARA</w:t>
      </w:r>
      <w:proofErr w:type="spellEnd"/>
      <w:r>
        <w:t xml:space="preserve"> alignment discussion meetings in March and April 2022, some of which are documented </w:t>
      </w:r>
      <w:hyperlink r:id="rId11" w:history="1">
        <w:r w:rsidRPr="007724EB">
          <w:rPr>
            <w:rStyle w:val="Hyperlink"/>
          </w:rPr>
          <w:t>here</w:t>
        </w:r>
      </w:hyperlink>
      <w:r>
        <w:t xml:space="preserve">, the allocation of resources to the </w:t>
      </w:r>
      <w:proofErr w:type="spellStart"/>
      <w:r>
        <w:t>LhARA</w:t>
      </w:r>
      <w:proofErr w:type="spellEnd"/>
      <w:r>
        <w:t xml:space="preserve"> project should reflect the </w:t>
      </w:r>
      <w:r w:rsidR="008B0B33">
        <w:t>full project</w:t>
      </w:r>
      <w:r w:rsidR="00E2638A">
        <w:t>-</w:t>
      </w:r>
      <w:r w:rsidR="008B0B33">
        <w:t>risk</w:t>
      </w:r>
      <w:r w:rsidR="00E2638A">
        <w:t xml:space="preserve"> analysis that the collaboration has carried out.</w:t>
      </w:r>
      <w:r w:rsidR="00277BD4">
        <w:t xml:space="preserve">  Taking the conventional-facilities-and-costing element of </w:t>
      </w:r>
      <w:proofErr w:type="spellStart"/>
      <w:r w:rsidR="00277BD4">
        <w:t>LhARA</w:t>
      </w:r>
      <w:proofErr w:type="spellEnd"/>
      <w:r w:rsidR="00277BD4">
        <w:t xml:space="preserve"> work pac</w:t>
      </w:r>
      <w:r w:rsidR="007724EB">
        <w:t>k</w:t>
      </w:r>
      <w:r w:rsidR="00277BD4">
        <w:t xml:space="preserve">age 6 out of the risk-mitigation based optimisation of the </w:t>
      </w:r>
      <w:proofErr w:type="spellStart"/>
      <w:r w:rsidR="00277BD4">
        <w:t>LhARA</w:t>
      </w:r>
      <w:proofErr w:type="spellEnd"/>
      <w:r w:rsidR="00277BD4">
        <w:t xml:space="preserve"> programme increases the risk to the </w:t>
      </w:r>
      <w:proofErr w:type="spellStart"/>
      <w:r w:rsidR="00277BD4">
        <w:t>LhARA</w:t>
      </w:r>
      <w:proofErr w:type="spellEnd"/>
      <w:r w:rsidR="00277BD4">
        <w:t xml:space="preserve"> project overall.</w:t>
      </w:r>
    </w:p>
    <w:p w14:paraId="5F0FFDBC" w14:textId="2C038F87" w:rsidR="008607EC" w:rsidRDefault="008607EC" w:rsidP="00DF5E5C">
      <w:pPr>
        <w:pStyle w:val="Point"/>
      </w:pPr>
      <w:r>
        <w:t>2.3</w:t>
      </w:r>
      <w:r>
        <w:tab/>
        <w:t xml:space="preserve">The </w:t>
      </w:r>
      <w:proofErr w:type="spellStart"/>
      <w:r>
        <w:t>LhARA</w:t>
      </w:r>
      <w:proofErr w:type="spellEnd"/>
      <w:r>
        <w:t xml:space="preserve"> Executive Board and Project Group members do not have access to </w:t>
      </w:r>
      <w:hyperlink r:id="rId12" w:history="1">
        <w:r w:rsidRPr="002C4B8C">
          <w:rPr>
            <w:rStyle w:val="Hyperlink"/>
          </w:rPr>
          <w:t>\\fed.cclrc.ac.uk</w:t>
        </w:r>
      </w:hyperlink>
      <w:r>
        <w:t xml:space="preserve">.  An appropriate location for document sharing needs to be identified.  </w:t>
      </w:r>
      <w:r w:rsidR="007724EB">
        <w:t xml:space="preserve">The collaboration has adopted a transparent approach to the sharing of information related to its programme and the </w:t>
      </w:r>
      <w:proofErr w:type="spellStart"/>
      <w:r w:rsidR="007724EB">
        <w:t>LhARA</w:t>
      </w:r>
      <w:proofErr w:type="spellEnd"/>
      <w:r w:rsidR="007724EB">
        <w:t xml:space="preserve"> project</w:t>
      </w:r>
      <w:r w:rsidR="003A21F6">
        <w:t xml:space="preserve">, </w:t>
      </w:r>
      <w:r w:rsidR="007724EB">
        <w:t xml:space="preserve">a </w:t>
      </w:r>
      <w:hyperlink r:id="rId13" w:history="1">
        <w:r w:rsidR="007724EB" w:rsidRPr="003A21F6">
          <w:rPr>
            <w:rStyle w:val="Hyperlink"/>
          </w:rPr>
          <w:t>wiki</w:t>
        </w:r>
      </w:hyperlink>
      <w:r w:rsidR="007724EB">
        <w:t xml:space="preserve"> </w:t>
      </w:r>
      <w:r w:rsidR="003A21F6">
        <w:t xml:space="preserve">has been </w:t>
      </w:r>
      <w:r w:rsidR="007724EB">
        <w:t xml:space="preserve">set up for this purpose.  Of course, some information, such as salary-related data, is confidential.  </w:t>
      </w:r>
      <w:r w:rsidR="00446A68">
        <w:t xml:space="preserve">The collaboration has adopted a Microsoft </w:t>
      </w:r>
      <w:proofErr w:type="spellStart"/>
      <w:r w:rsidR="00446A68">
        <w:t>Sharepoint</w:t>
      </w:r>
      <w:proofErr w:type="spellEnd"/>
      <w:r w:rsidR="00446A68">
        <w:t xml:space="preserve"> for this purpose.  </w:t>
      </w:r>
      <w:r w:rsidR="00A1079F">
        <w:t xml:space="preserve">Confidential ITRF documents relevant to the </w:t>
      </w:r>
      <w:proofErr w:type="spellStart"/>
      <w:r w:rsidR="00A1079F">
        <w:t>LhARA</w:t>
      </w:r>
      <w:proofErr w:type="spellEnd"/>
      <w:r w:rsidR="00A1079F">
        <w:t xml:space="preserve"> project management team</w:t>
      </w:r>
      <w:r w:rsidR="007724EB">
        <w:t xml:space="preserve"> </w:t>
      </w:r>
      <w:r w:rsidR="00320E4F">
        <w:t>must be made available through an appropriate, secure resource.</w:t>
      </w:r>
      <w:r w:rsidR="0000738D">
        <w:rPr>
          <w:rStyle w:val="FootnoteReference"/>
        </w:rPr>
        <w:footnoteReference w:id="1"/>
      </w:r>
    </w:p>
    <w:p w14:paraId="66AABFF4" w14:textId="2D8D1D53" w:rsidR="009F6E55" w:rsidRDefault="00277BD4" w:rsidP="009F6E55">
      <w:pPr>
        <w:pStyle w:val="Heading2"/>
      </w:pPr>
      <w:r>
        <w:t>3</w:t>
      </w:r>
      <w:r w:rsidR="009F6E55">
        <w:t xml:space="preserve">. </w:t>
      </w:r>
      <w:r>
        <w:t>Detailed comments and proposed revisions</w:t>
      </w:r>
    </w:p>
    <w:p w14:paraId="1F683F27" w14:textId="11C5B798" w:rsidR="00E702DB" w:rsidRDefault="00277BD4" w:rsidP="00277BD4">
      <w:pPr>
        <w:pStyle w:val="Point"/>
      </w:pPr>
      <w:r>
        <w:t>3</w:t>
      </w:r>
      <w:r w:rsidR="00455143">
        <w:t>.1</w:t>
      </w:r>
      <w:r w:rsidR="00455143">
        <w:tab/>
      </w:r>
      <w:r w:rsidRPr="00277BD4">
        <w:rPr>
          <w:i/>
          <w:iCs/>
          <w:u w:val="single"/>
        </w:rPr>
        <w:t>Page 1:</w:t>
      </w:r>
      <w:r>
        <w:t xml:space="preserve"> </w:t>
      </w:r>
      <w:r w:rsidR="00951468">
        <w:t>When finalised</w:t>
      </w:r>
      <w:r w:rsidR="00A3096C">
        <w:t>,</w:t>
      </w:r>
      <w:r w:rsidR="00951468">
        <w:t xml:space="preserve"> the document will define the ITRF</w:t>
      </w:r>
      <w:r w:rsidR="007724EB">
        <w:t xml:space="preserve"> – </w:t>
      </w:r>
      <w:r w:rsidR="00951468">
        <w:t xml:space="preserve">LhARA working methods designed to deliver success in the Preliminary Activity.  We therefore propose that the </w:t>
      </w:r>
      <w:proofErr w:type="spellStart"/>
      <w:r w:rsidR="00951468">
        <w:t>LhARA</w:t>
      </w:r>
      <w:proofErr w:type="spellEnd"/>
      <w:r w:rsidR="00951468">
        <w:t xml:space="preserve"> co-spokespeople, A. </w:t>
      </w:r>
      <w:proofErr w:type="spellStart"/>
      <w:r w:rsidR="00951468">
        <w:t>Giacca</w:t>
      </w:r>
      <w:proofErr w:type="spellEnd"/>
      <w:r w:rsidR="00951468">
        <w:t xml:space="preserve"> and K. Long, be added to the Document Approval list.</w:t>
      </w:r>
    </w:p>
    <w:p w14:paraId="6D21060A" w14:textId="7443607D" w:rsidR="00951468" w:rsidRDefault="00951468" w:rsidP="00277BD4">
      <w:pPr>
        <w:pStyle w:val="Point"/>
      </w:pPr>
      <w:r>
        <w:t>3.2</w:t>
      </w:r>
      <w:r>
        <w:tab/>
      </w:r>
      <w:r w:rsidR="008607EC" w:rsidRPr="008607EC">
        <w:rPr>
          <w:i/>
          <w:iCs/>
          <w:u w:val="single"/>
        </w:rPr>
        <w:t>Page 2:</w:t>
      </w:r>
      <w:r w:rsidR="00A35AA6">
        <w:t xml:space="preserve"> The collaboration nominates </w:t>
      </w:r>
      <w:proofErr w:type="spellStart"/>
      <w:r w:rsidR="00A35AA6">
        <w:t>Dr.</w:t>
      </w:r>
      <w:proofErr w:type="spellEnd"/>
      <w:r w:rsidR="00A35AA6">
        <w:t xml:space="preserve"> Colin White (Strathclyde)</w:t>
      </w:r>
      <w:r w:rsidR="00E22643">
        <w:t xml:space="preserve">, </w:t>
      </w:r>
      <w:r w:rsidR="00A35AA6">
        <w:t xml:space="preserve">who is the </w:t>
      </w:r>
      <w:proofErr w:type="spellStart"/>
      <w:r w:rsidR="00A35AA6">
        <w:t>LhARA</w:t>
      </w:r>
      <w:proofErr w:type="spellEnd"/>
      <w:r w:rsidR="00A35AA6">
        <w:t xml:space="preserve"> Project Manager</w:t>
      </w:r>
      <w:r w:rsidR="00E22643">
        <w:t>,</w:t>
      </w:r>
      <w:r w:rsidR="00A35AA6">
        <w:t xml:space="preserve"> for the role of Work Package 1 Manager in the ITRF OBS.</w:t>
      </w:r>
      <w:r w:rsidR="0000738D">
        <w:rPr>
          <w:rStyle w:val="FootnoteReference"/>
        </w:rPr>
        <w:footnoteReference w:id="2"/>
      </w:r>
    </w:p>
    <w:p w14:paraId="3F741501" w14:textId="4ADDC23D" w:rsidR="00A35AA6" w:rsidRDefault="00A35AA6" w:rsidP="00277BD4">
      <w:pPr>
        <w:pStyle w:val="Point"/>
      </w:pPr>
      <w:r>
        <w:t>3.3</w:t>
      </w:r>
      <w:r>
        <w:tab/>
      </w:r>
      <w:r>
        <w:rPr>
          <w:i/>
          <w:iCs/>
          <w:u w:val="single"/>
        </w:rPr>
        <w:t>Page 3:</w:t>
      </w:r>
      <w:r>
        <w:t xml:space="preserve"> The </w:t>
      </w:r>
      <w:proofErr w:type="spellStart"/>
      <w:r>
        <w:t>LhARA</w:t>
      </w:r>
      <w:proofErr w:type="spellEnd"/>
      <w:r>
        <w:t xml:space="preserve"> OBS has </w:t>
      </w:r>
      <w:proofErr w:type="gramStart"/>
      <w:r>
        <w:t>a number of</w:t>
      </w:r>
      <w:proofErr w:type="gramEnd"/>
      <w:r>
        <w:t xml:space="preserve"> typo</w:t>
      </w:r>
      <w:r w:rsidR="00C769C1">
        <w:t>s.  The correct</w:t>
      </w:r>
      <w:r w:rsidR="000404B9">
        <w:t xml:space="preserve"> OBS is shown in figure 1 below.  The differences compared to the figure on page 3 of the “ITRF – </w:t>
      </w:r>
      <w:proofErr w:type="spellStart"/>
      <w:r w:rsidR="000404B9">
        <w:t>LhARA</w:t>
      </w:r>
      <w:proofErr w:type="spellEnd"/>
      <w:r w:rsidR="000404B9">
        <w:t xml:space="preserve"> Working Methods” document </w:t>
      </w:r>
      <w:proofErr w:type="gramStart"/>
      <w:r w:rsidR="000404B9">
        <w:t>are</w:t>
      </w:r>
      <w:proofErr w:type="gramEnd"/>
      <w:r w:rsidR="000404B9">
        <w:t>:</w:t>
      </w:r>
    </w:p>
    <w:p w14:paraId="387179CC" w14:textId="032118BF" w:rsidR="000404B9" w:rsidRDefault="000404B9" w:rsidP="000404B9">
      <w:pPr>
        <w:pStyle w:val="ListParagraph"/>
        <w:numPr>
          <w:ilvl w:val="0"/>
          <w:numId w:val="5"/>
        </w:numPr>
      </w:pPr>
      <w:r>
        <w:t xml:space="preserve">The second role defined in the </w:t>
      </w:r>
      <w:proofErr w:type="spellStart"/>
      <w:r>
        <w:t>LhARA</w:t>
      </w:r>
      <w:proofErr w:type="spellEnd"/>
      <w:r>
        <w:t xml:space="preserve"> Project Management Board should read “Project Scientist” rather than the Project Sponsor.</w:t>
      </w:r>
    </w:p>
    <w:p w14:paraId="1B1E3775" w14:textId="3EFF53CB" w:rsidR="000404B9" w:rsidRDefault="000404B9" w:rsidP="000404B9">
      <w:pPr>
        <w:pStyle w:val="ListParagraph"/>
        <w:numPr>
          <w:ilvl w:val="0"/>
          <w:numId w:val="5"/>
        </w:numPr>
      </w:pPr>
      <w:r>
        <w:t>The names of work</w:t>
      </w:r>
      <w:r w:rsidR="00E22643">
        <w:t xml:space="preserve"> </w:t>
      </w:r>
      <w:r>
        <w:t>packages 1.4 and 1.5 should be updated as indicated in figure 1.</w:t>
      </w:r>
    </w:p>
    <w:p w14:paraId="30BD0359" w14:textId="6671088B" w:rsidR="000404B9" w:rsidRPr="00117F68" w:rsidRDefault="000404B9" w:rsidP="00277BD4">
      <w:pPr>
        <w:pStyle w:val="Point"/>
      </w:pPr>
      <w:r>
        <w:t>3.4</w:t>
      </w:r>
      <w:r>
        <w:tab/>
      </w:r>
      <w:r w:rsidR="00117F68">
        <w:rPr>
          <w:i/>
          <w:iCs/>
          <w:u w:val="single"/>
        </w:rPr>
        <w:t>Page 4:</w:t>
      </w:r>
      <w:r w:rsidR="00117F68">
        <w:t xml:space="preserve"> The paragraph headed “Delivery approach:” refers to the CDR/TDR gateway process being overseen with “advisory board oversight</w:t>
      </w:r>
      <w:r w:rsidR="00CB26EC">
        <w:t>”</w:t>
      </w:r>
      <w:r w:rsidR="00117F68">
        <w:t>.  This oversight is more usually carried out by the Project Board and supported by an Oversight Committee</w:t>
      </w:r>
      <w:r w:rsidR="00E34D0D">
        <w:t xml:space="preserve"> (the </w:t>
      </w:r>
      <w:r w:rsidR="00E34D0D" w:rsidRPr="00E34D0D">
        <w:t>STFC Project Review Committee</w:t>
      </w:r>
      <w:r w:rsidR="00E34D0D">
        <w:t xml:space="preserve"> defined on page 7)</w:t>
      </w:r>
      <w:r w:rsidR="009F55A9">
        <w:t xml:space="preserve"> with expertise in all areas of importance to the successful execution of the project; particularly in those areas associated with key project risks</w:t>
      </w:r>
      <w:r w:rsidR="00117F68">
        <w:t>.</w:t>
      </w:r>
      <w:r w:rsidR="009F55A9">
        <w:t xml:space="preserve">  </w:t>
      </w:r>
      <w:r w:rsidR="00CB26EC">
        <w:t>The discussion on page 4 should be updated to reflect this.</w:t>
      </w:r>
    </w:p>
    <w:p w14:paraId="405C213E" w14:textId="4A742AB9" w:rsidR="000404B9" w:rsidRDefault="009F55A9" w:rsidP="00277BD4">
      <w:pPr>
        <w:pStyle w:val="Point"/>
      </w:pPr>
      <w:r>
        <w:lastRenderedPageBreak/>
        <w:t>3.5</w:t>
      </w:r>
      <w:r>
        <w:tab/>
      </w:r>
      <w:r>
        <w:rPr>
          <w:i/>
          <w:iCs/>
          <w:u w:val="single"/>
        </w:rPr>
        <w:t>Page 4:</w:t>
      </w:r>
      <w:r>
        <w:t xml:space="preserve"> The paragraph headed “Delivery technology:” </w:t>
      </w:r>
      <w:r w:rsidR="00F571D1">
        <w:t xml:space="preserve">does not accurately reflect the risk management programme that will be carried out in the Preliminary Activity.  </w:t>
      </w:r>
      <w:r w:rsidR="00130811">
        <w:t>With the resources available, i</w:t>
      </w:r>
      <w:r w:rsidR="00F571D1">
        <w:t xml:space="preserve">t will not be possible to carry out the work necessary to retire the key </w:t>
      </w:r>
      <w:r w:rsidR="0000738D">
        <w:t xml:space="preserve">all </w:t>
      </w:r>
      <w:r w:rsidR="00F571D1">
        <w:t>technical risks associated with the laser-driven source, the capture system, and the ion-acoustic real-time dose-profile measurement in 18 to 24 months.  The discussion in this paragraph needs to reflect the need for the risk-mitigation programme to continue into the pre-construction phase.</w:t>
      </w:r>
      <w:r w:rsidR="00130811">
        <w:t xml:space="preserve">  A proposed rephrasing of this paragraph follows:</w:t>
      </w:r>
    </w:p>
    <w:p w14:paraId="2BE5EBE7" w14:textId="6597CA54" w:rsidR="00130811" w:rsidRDefault="00130811" w:rsidP="0042454A">
      <w:pPr>
        <w:ind w:left="709" w:right="940"/>
        <w:rPr>
          <w:i/>
          <w:iCs/>
        </w:rPr>
      </w:pPr>
      <w:r w:rsidRPr="00130811">
        <w:rPr>
          <w:i/>
          <w:iCs/>
        </w:rPr>
        <w:t>The</w:t>
      </w:r>
      <w:r w:rsidR="0042454A">
        <w:rPr>
          <w:i/>
          <w:iCs/>
        </w:rPr>
        <w:t xml:space="preserve"> ITRF proposal defines the laser-plasma/FFA technology based on the </w:t>
      </w:r>
      <w:proofErr w:type="spellStart"/>
      <w:r w:rsidR="0042454A">
        <w:rPr>
          <w:i/>
          <w:iCs/>
        </w:rPr>
        <w:t>LhARA</w:t>
      </w:r>
      <w:proofErr w:type="spellEnd"/>
      <w:r w:rsidR="0042454A">
        <w:rPr>
          <w:i/>
          <w:iCs/>
        </w:rPr>
        <w:t xml:space="preserve"> design as the baseline technology to serve the facility.  Alternative technological solutions (</w:t>
      </w:r>
      <w:r w:rsidRPr="00130811">
        <w:rPr>
          <w:i/>
          <w:iCs/>
        </w:rPr>
        <w:t xml:space="preserve">a synchrotron based on </w:t>
      </w:r>
      <w:r w:rsidR="0042454A">
        <w:rPr>
          <w:i/>
          <w:iCs/>
        </w:rPr>
        <w:t xml:space="preserve">the </w:t>
      </w:r>
      <w:r w:rsidRPr="00130811">
        <w:rPr>
          <w:i/>
          <w:iCs/>
        </w:rPr>
        <w:t>NIMMS</w:t>
      </w:r>
      <w:r w:rsidR="0042454A">
        <w:rPr>
          <w:i/>
          <w:iCs/>
        </w:rPr>
        <w:t>2</w:t>
      </w:r>
      <w:r w:rsidRPr="00130811">
        <w:rPr>
          <w:i/>
          <w:iCs/>
        </w:rPr>
        <w:t xml:space="preserve"> </w:t>
      </w:r>
      <w:proofErr w:type="spellStart"/>
      <w:r w:rsidR="0042454A">
        <w:rPr>
          <w:i/>
          <w:iCs/>
        </w:rPr>
        <w:t>programme</w:t>
      </w:r>
      <w:proofErr w:type="spellEnd"/>
      <w:r w:rsidR="0042454A">
        <w:rPr>
          <w:i/>
          <w:iCs/>
        </w:rPr>
        <w:t xml:space="preserve"> and </w:t>
      </w:r>
      <w:r w:rsidRPr="00130811">
        <w:rPr>
          <w:i/>
          <w:iCs/>
        </w:rPr>
        <w:t xml:space="preserve">a </w:t>
      </w:r>
      <w:proofErr w:type="spellStart"/>
      <w:r w:rsidRPr="00130811">
        <w:rPr>
          <w:i/>
          <w:iCs/>
        </w:rPr>
        <w:t>linac</w:t>
      </w:r>
      <w:proofErr w:type="spellEnd"/>
      <w:r w:rsidR="0042454A">
        <w:rPr>
          <w:i/>
          <w:iCs/>
        </w:rPr>
        <w:t>)</w:t>
      </w:r>
      <w:r w:rsidRPr="00130811">
        <w:rPr>
          <w:i/>
          <w:iCs/>
        </w:rPr>
        <w:t xml:space="preserve"> will also be considered.  During the CDR phase</w:t>
      </w:r>
      <w:r w:rsidR="0042454A">
        <w:rPr>
          <w:i/>
          <w:iCs/>
        </w:rPr>
        <w:t>,</w:t>
      </w:r>
      <w:r w:rsidRPr="00130811">
        <w:rPr>
          <w:i/>
          <w:iCs/>
        </w:rPr>
        <w:t xml:space="preserve"> ITRF Preliminary Activity 1 (ITRF-PA1)</w:t>
      </w:r>
      <w:r w:rsidR="0042454A">
        <w:rPr>
          <w:i/>
          <w:iCs/>
        </w:rPr>
        <w:t>,</w:t>
      </w:r>
      <w:r w:rsidRPr="00130811">
        <w:rPr>
          <w:i/>
          <w:iCs/>
        </w:rPr>
        <w:t xml:space="preserve"> these technological solutions will be appropriately developed to all</w:t>
      </w:r>
      <w:r w:rsidR="0042454A">
        <w:rPr>
          <w:i/>
          <w:iCs/>
        </w:rPr>
        <w:t>ow</w:t>
      </w:r>
      <w:r w:rsidRPr="00130811">
        <w:rPr>
          <w:i/>
          <w:iCs/>
        </w:rPr>
        <w:t xml:space="preserve"> a conceptual design and costing to be carried out. </w:t>
      </w:r>
      <w:r w:rsidR="0042454A">
        <w:rPr>
          <w:i/>
          <w:iCs/>
        </w:rPr>
        <w:t xml:space="preserve"> The </w:t>
      </w:r>
      <w:proofErr w:type="spellStart"/>
      <w:r w:rsidR="0042454A">
        <w:rPr>
          <w:i/>
          <w:iCs/>
        </w:rPr>
        <w:t>alterna</w:t>
      </w:r>
      <w:proofErr w:type="spellEnd"/>
      <w:r w:rsidR="0000738D">
        <w:rPr>
          <w:rStyle w:val="FootnoteReference"/>
          <w:i/>
          <w:iCs/>
        </w:rPr>
        <w:footnoteReference w:id="3"/>
      </w:r>
      <w:proofErr w:type="spellStart"/>
      <w:r w:rsidR="0042454A">
        <w:rPr>
          <w:i/>
          <w:iCs/>
        </w:rPr>
        <w:t>tive</w:t>
      </w:r>
      <w:proofErr w:type="spellEnd"/>
      <w:r w:rsidR="0042454A">
        <w:rPr>
          <w:i/>
          <w:iCs/>
        </w:rPr>
        <w:t xml:space="preserve"> solutions provide “off ramps” should </w:t>
      </w:r>
      <w:r w:rsidR="00A52E2D">
        <w:rPr>
          <w:i/>
          <w:iCs/>
        </w:rPr>
        <w:t>it prove</w:t>
      </w:r>
      <w:r w:rsidR="007C7883">
        <w:rPr>
          <w:i/>
          <w:iCs/>
        </w:rPr>
        <w:t xml:space="preserve"> im</w:t>
      </w:r>
      <w:r w:rsidR="00A52E2D">
        <w:rPr>
          <w:i/>
          <w:iCs/>
        </w:rPr>
        <w:t xml:space="preserve">possible to mitigate the risks associated with the </w:t>
      </w:r>
      <w:r w:rsidR="007C7883">
        <w:rPr>
          <w:i/>
          <w:iCs/>
        </w:rPr>
        <w:t xml:space="preserve">baseline </w:t>
      </w:r>
      <w:r w:rsidR="0042454A">
        <w:rPr>
          <w:i/>
          <w:iCs/>
        </w:rPr>
        <w:t>approach</w:t>
      </w:r>
      <w:r w:rsidR="00A52E2D">
        <w:rPr>
          <w:i/>
          <w:iCs/>
        </w:rPr>
        <w:t xml:space="preserve">. </w:t>
      </w:r>
      <w:r w:rsidR="0042454A">
        <w:rPr>
          <w:i/>
          <w:iCs/>
        </w:rPr>
        <w:t xml:space="preserve"> </w:t>
      </w:r>
      <w:r w:rsidRPr="00130811">
        <w:rPr>
          <w:i/>
          <w:iCs/>
        </w:rPr>
        <w:t xml:space="preserve">We foresee a staged infrastructure with a lower-energy (shallower depth, in-vitro) initial capability, followed by a higher-energy (larger depth) provision.  Risks inherent in the use of novel high-dose-rate sources will be managed through design and prototyping carried out as part of </w:t>
      </w:r>
      <w:r w:rsidR="00A52E2D">
        <w:rPr>
          <w:i/>
          <w:iCs/>
        </w:rPr>
        <w:t>and</w:t>
      </w:r>
      <w:r w:rsidR="007C7883">
        <w:rPr>
          <w:i/>
          <w:iCs/>
        </w:rPr>
        <w:t xml:space="preserve"> in</w:t>
      </w:r>
      <w:r w:rsidR="00A52E2D">
        <w:rPr>
          <w:i/>
          <w:iCs/>
        </w:rPr>
        <w:t xml:space="preserve"> </w:t>
      </w:r>
      <w:r w:rsidRPr="00130811">
        <w:rPr>
          <w:i/>
          <w:iCs/>
        </w:rPr>
        <w:t xml:space="preserve">parallel with the </w:t>
      </w:r>
      <w:r w:rsidR="00A52E2D">
        <w:rPr>
          <w:i/>
          <w:iCs/>
        </w:rPr>
        <w:t>P</w:t>
      </w:r>
      <w:r w:rsidRPr="00130811">
        <w:rPr>
          <w:i/>
          <w:iCs/>
        </w:rPr>
        <w:t xml:space="preserve">reliminary </w:t>
      </w:r>
      <w:r w:rsidR="00A52E2D">
        <w:rPr>
          <w:i/>
          <w:iCs/>
        </w:rPr>
        <w:t>A</w:t>
      </w:r>
      <w:r w:rsidRPr="00130811">
        <w:rPr>
          <w:i/>
          <w:iCs/>
        </w:rPr>
        <w:t xml:space="preserve">ctivity.  We are already engaged in </w:t>
      </w:r>
      <w:proofErr w:type="gramStart"/>
      <w:r w:rsidRPr="00130811">
        <w:rPr>
          <w:i/>
          <w:iCs/>
        </w:rPr>
        <w:t>a number of</w:t>
      </w:r>
      <w:proofErr w:type="gramEnd"/>
      <w:r w:rsidRPr="00130811">
        <w:rPr>
          <w:i/>
          <w:iCs/>
        </w:rPr>
        <w:t xml:space="preserve"> relevant collaborations and projects to develop the key technologies (ion source, pre acceleration, final acceleration</w:t>
      </w:r>
      <w:r w:rsidR="007C7883">
        <w:rPr>
          <w:i/>
          <w:iCs/>
        </w:rPr>
        <w:t>, ion-acoustic dose-profile mapping</w:t>
      </w:r>
      <w:r w:rsidRPr="00130811">
        <w:rPr>
          <w:i/>
          <w:iCs/>
        </w:rPr>
        <w:t xml:space="preserve">) </w:t>
      </w:r>
      <w:r w:rsidR="007C7883">
        <w:rPr>
          <w:i/>
          <w:iCs/>
        </w:rPr>
        <w:t>that are key to the baseline approach</w:t>
      </w:r>
      <w:r w:rsidRPr="00130811">
        <w:rPr>
          <w:i/>
          <w:iCs/>
        </w:rPr>
        <w:t>.</w:t>
      </w:r>
    </w:p>
    <w:p w14:paraId="0C5B8B8B" w14:textId="6389FB7D" w:rsidR="00A52E2D" w:rsidRDefault="00A52E2D" w:rsidP="00A52E2D">
      <w:pPr>
        <w:pStyle w:val="Point"/>
      </w:pPr>
      <w:r>
        <w:t>3.6</w:t>
      </w:r>
      <w:r>
        <w:tab/>
      </w:r>
      <w:r>
        <w:rPr>
          <w:i/>
          <w:iCs/>
          <w:u w:val="single"/>
        </w:rPr>
        <w:t>Page 5:</w:t>
      </w:r>
      <w:r>
        <w:t xml:space="preserve"> The number of staff years in parentheses after WP1, 27 SY, is not correct</w:t>
      </w:r>
      <w:r w:rsidR="00B00FB0">
        <w:t>.  The WP1 allocation will support staff</w:t>
      </w:r>
      <w:r w:rsidR="007C7883">
        <w:t xml:space="preserve"> (including research students)</w:t>
      </w:r>
      <w:r w:rsidR="00B00FB0">
        <w:t xml:space="preserve">, equipment, and consumables.  Perhaps it is best to omit the number and refer to the </w:t>
      </w:r>
      <w:proofErr w:type="spellStart"/>
      <w:r w:rsidR="00B00FB0">
        <w:t>LhARA</w:t>
      </w:r>
      <w:proofErr w:type="spellEnd"/>
      <w:r w:rsidR="00B00FB0">
        <w:t xml:space="preserve"> proposal</w:t>
      </w:r>
      <w:r w:rsidR="00A3096C">
        <w:t>,</w:t>
      </w:r>
      <w:r w:rsidR="00B00FB0">
        <w:t xml:space="preserve"> a draft of which can be provided in advance of the STFC internal bid review.</w:t>
      </w:r>
    </w:p>
    <w:p w14:paraId="3239CCF4" w14:textId="0DE9B886" w:rsidR="00B00FB0" w:rsidRPr="00B00FB0" w:rsidRDefault="00B00FB0" w:rsidP="00A52E2D">
      <w:pPr>
        <w:pStyle w:val="Point"/>
      </w:pPr>
      <w:r>
        <w:t>3.6</w:t>
      </w:r>
      <w:r>
        <w:tab/>
      </w:r>
      <w:r w:rsidRPr="00B00FB0">
        <w:rPr>
          <w:i/>
          <w:iCs/>
          <w:u w:val="single"/>
        </w:rPr>
        <w:t>Page 7:</w:t>
      </w:r>
      <w:r>
        <w:t xml:space="preserve"> Under “Working method 3” we note there is one </w:t>
      </w:r>
      <w:proofErr w:type="spellStart"/>
      <w:r>
        <w:t>LhARA</w:t>
      </w:r>
      <w:proofErr w:type="spellEnd"/>
      <w:r>
        <w:t xml:space="preserve"> Institute Board (remove plural on line 2).  Paragraph 4 should refer to </w:t>
      </w:r>
      <w:proofErr w:type="spellStart"/>
      <w:r>
        <w:t>LhARA</w:t>
      </w:r>
      <w:proofErr w:type="spellEnd"/>
      <w:r>
        <w:t xml:space="preserve">, or </w:t>
      </w:r>
      <w:r w:rsidR="00A3096C">
        <w:t xml:space="preserve">the </w:t>
      </w:r>
      <w:proofErr w:type="spellStart"/>
      <w:r>
        <w:t>LhARA</w:t>
      </w:r>
      <w:proofErr w:type="spellEnd"/>
      <w:r>
        <w:t xml:space="preserve"> Project, rather than </w:t>
      </w:r>
      <w:proofErr w:type="spellStart"/>
      <w:r>
        <w:t>LhARA</w:t>
      </w:r>
      <w:proofErr w:type="spellEnd"/>
      <w:r>
        <w:t xml:space="preserve"> Technology</w:t>
      </w:r>
      <w:r w:rsidR="005C5896">
        <w:t>.</w:t>
      </w:r>
      <w:r w:rsidR="008D4D2A">
        <w:t xml:space="preserve">  This change should also be made in the ITRF OBS presented on page 2.</w:t>
      </w:r>
    </w:p>
    <w:p w14:paraId="05E88DED" w14:textId="77777777" w:rsidR="00A52E2D" w:rsidRPr="00130811" w:rsidRDefault="00A52E2D" w:rsidP="00A52E2D"/>
    <w:p w14:paraId="3BB334AF" w14:textId="7F7CB53F" w:rsidR="00D352D3" w:rsidRDefault="00117F68" w:rsidP="00D352D3">
      <w:pPr>
        <w:pStyle w:val="Figure"/>
      </w:pPr>
      <w:r w:rsidRPr="00117F68">
        <w:rPr>
          <w:noProof/>
        </w:rPr>
        <w:drawing>
          <wp:inline distT="0" distB="0" distL="0" distR="0" wp14:anchorId="6E42231A" wp14:editId="68A64A2C">
            <wp:extent cx="4481384" cy="276236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70544" cy="28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A10A7" w14:textId="4F2D1C7B" w:rsidR="000404B9" w:rsidRPr="000404B9" w:rsidRDefault="000404B9" w:rsidP="000404B9">
      <w:pPr>
        <w:pStyle w:val="Caption"/>
      </w:pPr>
      <w:r>
        <w:t xml:space="preserve">Figure 1: </w:t>
      </w:r>
      <w:proofErr w:type="spellStart"/>
      <w:r>
        <w:t>Organisation</w:t>
      </w:r>
      <w:proofErr w:type="spellEnd"/>
      <w:r>
        <w:t xml:space="preserve"> breakdown structure for the </w:t>
      </w:r>
      <w:proofErr w:type="spellStart"/>
      <w:r>
        <w:t>LhARA</w:t>
      </w:r>
      <w:proofErr w:type="spellEnd"/>
      <w:r>
        <w:t xml:space="preserve"> project.</w:t>
      </w:r>
    </w:p>
    <w:p w14:paraId="53134157" w14:textId="5CF7D810" w:rsidR="007161D4" w:rsidRDefault="007161D4" w:rsidP="007161D4">
      <w:pPr>
        <w:pStyle w:val="Heading2"/>
      </w:pPr>
      <w:r>
        <w:lastRenderedPageBreak/>
        <w:t>Version history:</w:t>
      </w:r>
    </w:p>
    <w:p w14:paraId="7D144AB4" w14:textId="0C082E81" w:rsidR="004A16A4" w:rsidRDefault="004A16A4" w:rsidP="00EE14A7">
      <w:pPr>
        <w:pStyle w:val="Heading3"/>
      </w:pPr>
      <w:r>
        <w:t>19Oct22: Revision 1:</w:t>
      </w:r>
    </w:p>
    <w:p w14:paraId="30ECB08E" w14:textId="7FC77D83" w:rsidR="004A16A4" w:rsidRPr="004A16A4" w:rsidRDefault="004A16A4" w:rsidP="004A16A4">
      <w:pPr>
        <w:pStyle w:val="ListParagraph"/>
        <w:numPr>
          <w:ilvl w:val="0"/>
          <w:numId w:val="6"/>
        </w:numPr>
      </w:pPr>
      <w:r>
        <w:t>Add footnotes to document changes in Working Methods agreed since 10May22 and correct minor typographical errors.</w:t>
      </w:r>
    </w:p>
    <w:p w14:paraId="18D3B16C" w14:textId="4E786DAC" w:rsidR="00EE14A7" w:rsidRDefault="00EE14A7" w:rsidP="00EE14A7">
      <w:pPr>
        <w:pStyle w:val="Heading3"/>
      </w:pPr>
      <w:r>
        <w:t>10May22: Final</w:t>
      </w:r>
    </w:p>
    <w:p w14:paraId="0C4A34A9" w14:textId="5008E18A" w:rsidR="00EE14A7" w:rsidRPr="007161D4" w:rsidRDefault="00EE14A7" w:rsidP="00EE14A7">
      <w:pPr>
        <w:pStyle w:val="ListParagraph"/>
        <w:numPr>
          <w:ilvl w:val="0"/>
          <w:numId w:val="4"/>
        </w:numPr>
      </w:pPr>
      <w:r>
        <w:t>Final version.</w:t>
      </w:r>
    </w:p>
    <w:p w14:paraId="1A7C43AC" w14:textId="1657F38A" w:rsidR="007161D4" w:rsidRDefault="00E34D0D" w:rsidP="007161D4">
      <w:pPr>
        <w:pStyle w:val="Heading3"/>
      </w:pPr>
      <w:r>
        <w:t xml:space="preserve">09May22: </w:t>
      </w:r>
      <w:r w:rsidR="007161D4">
        <w:t>Draft 1.0: First version:</w:t>
      </w:r>
    </w:p>
    <w:p w14:paraId="356F619B" w14:textId="46C14D42" w:rsidR="007161D4" w:rsidRPr="007161D4" w:rsidRDefault="00E34D0D" w:rsidP="007161D4">
      <w:pPr>
        <w:pStyle w:val="ListParagraph"/>
        <w:numPr>
          <w:ilvl w:val="0"/>
          <w:numId w:val="4"/>
        </w:numPr>
      </w:pPr>
      <w:r>
        <w:t>First draft.</w:t>
      </w:r>
    </w:p>
    <w:sectPr w:rsidR="007161D4" w:rsidRPr="007161D4" w:rsidSect="00C42795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8A3D" w14:textId="77777777" w:rsidR="00564B33" w:rsidRDefault="00564B33" w:rsidP="00BF0C1C">
      <w:pPr>
        <w:spacing w:before="0" w:after="0" w:line="240" w:lineRule="auto"/>
      </w:pPr>
      <w:r>
        <w:separator/>
      </w:r>
    </w:p>
  </w:endnote>
  <w:endnote w:type="continuationSeparator" w:id="0">
    <w:p w14:paraId="10B23BC3" w14:textId="77777777" w:rsidR="00564B33" w:rsidRDefault="00564B33" w:rsidP="00BF0C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9E57" w14:textId="77777777" w:rsidR="00564B33" w:rsidRDefault="00564B33" w:rsidP="00BF0C1C">
      <w:pPr>
        <w:spacing w:before="0" w:after="0" w:line="240" w:lineRule="auto"/>
      </w:pPr>
      <w:r>
        <w:separator/>
      </w:r>
    </w:p>
  </w:footnote>
  <w:footnote w:type="continuationSeparator" w:id="0">
    <w:p w14:paraId="6BD88B1F" w14:textId="77777777" w:rsidR="00564B33" w:rsidRDefault="00564B33" w:rsidP="00BF0C1C">
      <w:pPr>
        <w:spacing w:before="0" w:after="0" w:line="240" w:lineRule="auto"/>
      </w:pPr>
      <w:r>
        <w:continuationSeparator/>
      </w:r>
    </w:p>
  </w:footnote>
  <w:footnote w:id="1">
    <w:p w14:paraId="1FA60064" w14:textId="4614003A" w:rsidR="0000738D" w:rsidRPr="0000738D" w:rsidRDefault="0000738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The document-sharing methodology has been agreed and is documented in XXXX.</w:t>
      </w:r>
    </w:p>
  </w:footnote>
  <w:footnote w:id="2">
    <w:p w14:paraId="57D984E8" w14:textId="14D6B4AF" w:rsidR="0000738D" w:rsidRPr="0000738D" w:rsidRDefault="0000738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The appointment of Colin White as ITRF </w:t>
      </w:r>
      <w:proofErr w:type="spellStart"/>
      <w:r>
        <w:t>Workpackage</w:t>
      </w:r>
      <w:proofErr w:type="spellEnd"/>
      <w:r>
        <w:t xml:space="preserve"> 1 Manager has been agreed.</w:t>
      </w:r>
    </w:p>
  </w:footnote>
  <w:footnote w:id="3">
    <w:p w14:paraId="0B39F187" w14:textId="5D045302" w:rsidR="0000738D" w:rsidRPr="0000738D" w:rsidRDefault="0000738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The scope of work and cost breakdown of the work to be performed under ITRF Preliminary Activity </w:t>
      </w:r>
      <w:proofErr w:type="spellStart"/>
      <w:r>
        <w:rPr>
          <w:lang w:val="en-GB"/>
        </w:rPr>
        <w:t>Workpackage</w:t>
      </w:r>
      <w:proofErr w:type="spellEnd"/>
      <w:r>
        <w:rPr>
          <w:lang w:val="en-GB"/>
        </w:rPr>
        <w:t xml:space="preserve"> 1 is defined in </w:t>
      </w:r>
      <w:hyperlink r:id="rId1" w:history="1">
        <w:r w:rsidRPr="004A16A4">
          <w:rPr>
            <w:rStyle w:val="Hyperlink"/>
            <w:lang w:val="en-GB"/>
          </w:rPr>
          <w:t>CCAP-TN-01</w:t>
        </w:r>
        <w:r w:rsidR="004A16A4" w:rsidRPr="004A16A4">
          <w:rPr>
            <w:rStyle w:val="Hyperlink"/>
            <w:lang w:val="en-GB"/>
          </w:rPr>
          <w:t xml:space="preserve"> Annex</w:t>
        </w:r>
      </w:hyperlink>
      <w:r w:rsidR="004A16A4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497B" w14:textId="353C7E6A" w:rsidR="00BF0C1C" w:rsidRPr="00BF0C1C" w:rsidRDefault="00F40941">
    <w:pPr>
      <w:pStyle w:val="Header"/>
      <w:rPr>
        <w:lang w:val="en-GB"/>
      </w:rPr>
    </w:pPr>
    <w:r>
      <w:rPr>
        <w:lang w:val="en-GB"/>
      </w:rPr>
      <w:t>LhARA-EB-2022/01</w:t>
    </w:r>
    <w:r w:rsidR="00BF0C1C">
      <w:rPr>
        <w:lang w:val="en-GB"/>
      </w:rPr>
      <w:tab/>
    </w:r>
    <w:r w:rsidR="00EB48D4">
      <w:rPr>
        <w:lang w:val="en-GB"/>
      </w:rPr>
      <w:t>Final</w:t>
    </w:r>
    <w:r w:rsidR="0000738D">
      <w:rPr>
        <w:lang w:val="en-GB"/>
      </w:rPr>
      <w:t xml:space="preserve"> – revision 1</w:t>
    </w:r>
    <w:r w:rsidR="00BF0C1C">
      <w:rPr>
        <w:lang w:val="en-GB"/>
      </w:rPr>
      <w:tab/>
    </w:r>
    <w:r w:rsidR="0000738D">
      <w:rPr>
        <w:lang w:val="en-GB"/>
      </w:rPr>
      <w:t>1</w:t>
    </w:r>
    <w:r w:rsidR="00BF0C1C">
      <w:rPr>
        <w:lang w:val="en-GB"/>
      </w:rPr>
      <w:t>9</w:t>
    </w:r>
    <w:r w:rsidR="00BF0C1C" w:rsidRPr="00BF0C1C">
      <w:rPr>
        <w:vertAlign w:val="superscript"/>
        <w:lang w:val="en-GB"/>
      </w:rPr>
      <w:t>th</w:t>
    </w:r>
    <w:r w:rsidR="00BF0C1C">
      <w:rPr>
        <w:lang w:val="en-GB"/>
      </w:rPr>
      <w:t xml:space="preserve"> </w:t>
    </w:r>
    <w:r w:rsidR="0000738D">
      <w:rPr>
        <w:lang w:val="en-GB"/>
      </w:rPr>
      <w:t>October</w:t>
    </w:r>
    <w:r w:rsidR="00BF0C1C">
      <w:rPr>
        <w:lang w:val="en-GB"/>
      </w:rPr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83B4B"/>
    <w:multiLevelType w:val="hybridMultilevel"/>
    <w:tmpl w:val="C340021C"/>
    <w:lvl w:ilvl="0" w:tplc="2E92132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4F42E88"/>
    <w:multiLevelType w:val="hybridMultilevel"/>
    <w:tmpl w:val="A52C36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93701"/>
    <w:multiLevelType w:val="hybridMultilevel"/>
    <w:tmpl w:val="B1CC8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21824"/>
    <w:multiLevelType w:val="hybridMultilevel"/>
    <w:tmpl w:val="96C46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8270C"/>
    <w:multiLevelType w:val="hybridMultilevel"/>
    <w:tmpl w:val="6908B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91F05"/>
    <w:multiLevelType w:val="hybridMultilevel"/>
    <w:tmpl w:val="5A56F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136384">
    <w:abstractNumId w:val="0"/>
  </w:num>
  <w:num w:numId="2" w16cid:durableId="263196623">
    <w:abstractNumId w:val="1"/>
  </w:num>
  <w:num w:numId="3" w16cid:durableId="1501233374">
    <w:abstractNumId w:val="5"/>
  </w:num>
  <w:num w:numId="4" w16cid:durableId="1530297357">
    <w:abstractNumId w:val="3"/>
  </w:num>
  <w:num w:numId="5" w16cid:durableId="803162812">
    <w:abstractNumId w:val="4"/>
  </w:num>
  <w:num w:numId="6" w16cid:durableId="1889955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C1C"/>
    <w:rsid w:val="0000738D"/>
    <w:rsid w:val="000104E0"/>
    <w:rsid w:val="00016F92"/>
    <w:rsid w:val="000404B9"/>
    <w:rsid w:val="000642AE"/>
    <w:rsid w:val="00067F65"/>
    <w:rsid w:val="00083358"/>
    <w:rsid w:val="000A341D"/>
    <w:rsid w:val="000A72A3"/>
    <w:rsid w:val="000C09D6"/>
    <w:rsid w:val="000C2469"/>
    <w:rsid w:val="000D4938"/>
    <w:rsid w:val="000F3DA7"/>
    <w:rsid w:val="001020A7"/>
    <w:rsid w:val="00106A82"/>
    <w:rsid w:val="00114D5D"/>
    <w:rsid w:val="00117F68"/>
    <w:rsid w:val="00130811"/>
    <w:rsid w:val="00131950"/>
    <w:rsid w:val="0013399E"/>
    <w:rsid w:val="00146E63"/>
    <w:rsid w:val="00157CBA"/>
    <w:rsid w:val="00162ED0"/>
    <w:rsid w:val="00167EC7"/>
    <w:rsid w:val="00173569"/>
    <w:rsid w:val="001B709F"/>
    <w:rsid w:val="001F458D"/>
    <w:rsid w:val="002144CC"/>
    <w:rsid w:val="00215572"/>
    <w:rsid w:val="00220321"/>
    <w:rsid w:val="00236077"/>
    <w:rsid w:val="0024466C"/>
    <w:rsid w:val="00277BD4"/>
    <w:rsid w:val="00290018"/>
    <w:rsid w:val="002C2F3D"/>
    <w:rsid w:val="002D283B"/>
    <w:rsid w:val="002D5ADE"/>
    <w:rsid w:val="00320640"/>
    <w:rsid w:val="00320E4F"/>
    <w:rsid w:val="003214B5"/>
    <w:rsid w:val="00326949"/>
    <w:rsid w:val="00331A96"/>
    <w:rsid w:val="0033426C"/>
    <w:rsid w:val="00336E9A"/>
    <w:rsid w:val="00342C52"/>
    <w:rsid w:val="003560C5"/>
    <w:rsid w:val="00360725"/>
    <w:rsid w:val="00376DCA"/>
    <w:rsid w:val="003A21F6"/>
    <w:rsid w:val="003B0B6B"/>
    <w:rsid w:val="003B776B"/>
    <w:rsid w:val="003C6F88"/>
    <w:rsid w:val="003C7C13"/>
    <w:rsid w:val="003D0686"/>
    <w:rsid w:val="003D1FB7"/>
    <w:rsid w:val="003E396E"/>
    <w:rsid w:val="003E53D5"/>
    <w:rsid w:val="003F7E1B"/>
    <w:rsid w:val="0042454A"/>
    <w:rsid w:val="00430CFD"/>
    <w:rsid w:val="00433C57"/>
    <w:rsid w:val="00440C8B"/>
    <w:rsid w:val="0044242B"/>
    <w:rsid w:val="004446FA"/>
    <w:rsid w:val="00446A68"/>
    <w:rsid w:val="00455143"/>
    <w:rsid w:val="00470014"/>
    <w:rsid w:val="00470564"/>
    <w:rsid w:val="0047595F"/>
    <w:rsid w:val="00476FD5"/>
    <w:rsid w:val="004822DD"/>
    <w:rsid w:val="004A16A4"/>
    <w:rsid w:val="004A21FD"/>
    <w:rsid w:val="004B2332"/>
    <w:rsid w:val="004D7B96"/>
    <w:rsid w:val="005071DD"/>
    <w:rsid w:val="005213E7"/>
    <w:rsid w:val="00527EFD"/>
    <w:rsid w:val="0053185E"/>
    <w:rsid w:val="00534103"/>
    <w:rsid w:val="00534D35"/>
    <w:rsid w:val="0053721E"/>
    <w:rsid w:val="005374F8"/>
    <w:rsid w:val="00557CB6"/>
    <w:rsid w:val="00564B33"/>
    <w:rsid w:val="00590AF5"/>
    <w:rsid w:val="005B0D20"/>
    <w:rsid w:val="005B3B42"/>
    <w:rsid w:val="005B67A7"/>
    <w:rsid w:val="005B7437"/>
    <w:rsid w:val="005C5896"/>
    <w:rsid w:val="005D50E9"/>
    <w:rsid w:val="005F54E2"/>
    <w:rsid w:val="005F7849"/>
    <w:rsid w:val="00603D70"/>
    <w:rsid w:val="00611CC1"/>
    <w:rsid w:val="006151E7"/>
    <w:rsid w:val="006348BD"/>
    <w:rsid w:val="0063768D"/>
    <w:rsid w:val="00661A02"/>
    <w:rsid w:val="00661D08"/>
    <w:rsid w:val="00665DC6"/>
    <w:rsid w:val="006A59F5"/>
    <w:rsid w:val="006A6319"/>
    <w:rsid w:val="006C28F9"/>
    <w:rsid w:val="006D47E1"/>
    <w:rsid w:val="006D5EE7"/>
    <w:rsid w:val="007035DC"/>
    <w:rsid w:val="007161D4"/>
    <w:rsid w:val="007342BF"/>
    <w:rsid w:val="0074798A"/>
    <w:rsid w:val="00753748"/>
    <w:rsid w:val="00757367"/>
    <w:rsid w:val="00763933"/>
    <w:rsid w:val="007724EB"/>
    <w:rsid w:val="0077291A"/>
    <w:rsid w:val="007947FF"/>
    <w:rsid w:val="007C1D06"/>
    <w:rsid w:val="007C3FC4"/>
    <w:rsid w:val="007C5DFE"/>
    <w:rsid w:val="007C7883"/>
    <w:rsid w:val="007D0EF0"/>
    <w:rsid w:val="007D0FDF"/>
    <w:rsid w:val="007D64D9"/>
    <w:rsid w:val="00825FD8"/>
    <w:rsid w:val="008300BC"/>
    <w:rsid w:val="00835F4B"/>
    <w:rsid w:val="00840A65"/>
    <w:rsid w:val="0085406E"/>
    <w:rsid w:val="008607EC"/>
    <w:rsid w:val="0087406E"/>
    <w:rsid w:val="00891AFC"/>
    <w:rsid w:val="008A0720"/>
    <w:rsid w:val="008A5C6E"/>
    <w:rsid w:val="008B0B33"/>
    <w:rsid w:val="008D1BA4"/>
    <w:rsid w:val="008D4D2A"/>
    <w:rsid w:val="008F7557"/>
    <w:rsid w:val="009037ED"/>
    <w:rsid w:val="00912109"/>
    <w:rsid w:val="009403CA"/>
    <w:rsid w:val="00941A25"/>
    <w:rsid w:val="00942436"/>
    <w:rsid w:val="009460AF"/>
    <w:rsid w:val="00951468"/>
    <w:rsid w:val="00954C85"/>
    <w:rsid w:val="009555CA"/>
    <w:rsid w:val="00994176"/>
    <w:rsid w:val="009A1221"/>
    <w:rsid w:val="009B129D"/>
    <w:rsid w:val="009D3443"/>
    <w:rsid w:val="009E296E"/>
    <w:rsid w:val="009F55A9"/>
    <w:rsid w:val="009F6E55"/>
    <w:rsid w:val="00A1079F"/>
    <w:rsid w:val="00A16A9D"/>
    <w:rsid w:val="00A17291"/>
    <w:rsid w:val="00A2375A"/>
    <w:rsid w:val="00A3096C"/>
    <w:rsid w:val="00A35AA6"/>
    <w:rsid w:val="00A36831"/>
    <w:rsid w:val="00A37B86"/>
    <w:rsid w:val="00A52E2D"/>
    <w:rsid w:val="00A629D9"/>
    <w:rsid w:val="00A64779"/>
    <w:rsid w:val="00AA010F"/>
    <w:rsid w:val="00AC7034"/>
    <w:rsid w:val="00AD075E"/>
    <w:rsid w:val="00B00FB0"/>
    <w:rsid w:val="00B02188"/>
    <w:rsid w:val="00B33CCA"/>
    <w:rsid w:val="00B3661E"/>
    <w:rsid w:val="00B42222"/>
    <w:rsid w:val="00B51EC0"/>
    <w:rsid w:val="00B61521"/>
    <w:rsid w:val="00B8228A"/>
    <w:rsid w:val="00B855BC"/>
    <w:rsid w:val="00B865A4"/>
    <w:rsid w:val="00BA714B"/>
    <w:rsid w:val="00BF0C1C"/>
    <w:rsid w:val="00C139CA"/>
    <w:rsid w:val="00C42795"/>
    <w:rsid w:val="00C51816"/>
    <w:rsid w:val="00C51D8B"/>
    <w:rsid w:val="00C53A4F"/>
    <w:rsid w:val="00C7277F"/>
    <w:rsid w:val="00C769C1"/>
    <w:rsid w:val="00C8175D"/>
    <w:rsid w:val="00CA507F"/>
    <w:rsid w:val="00CB26EC"/>
    <w:rsid w:val="00CC0602"/>
    <w:rsid w:val="00CC4C12"/>
    <w:rsid w:val="00CD3C37"/>
    <w:rsid w:val="00CD61B9"/>
    <w:rsid w:val="00CE2449"/>
    <w:rsid w:val="00CE40A9"/>
    <w:rsid w:val="00CF4F5B"/>
    <w:rsid w:val="00CF7EBD"/>
    <w:rsid w:val="00D17606"/>
    <w:rsid w:val="00D17E63"/>
    <w:rsid w:val="00D329ED"/>
    <w:rsid w:val="00D352D3"/>
    <w:rsid w:val="00D45A7E"/>
    <w:rsid w:val="00D50417"/>
    <w:rsid w:val="00D518F3"/>
    <w:rsid w:val="00D51F6F"/>
    <w:rsid w:val="00D85DC4"/>
    <w:rsid w:val="00DA6DC2"/>
    <w:rsid w:val="00DB3CCE"/>
    <w:rsid w:val="00DC630E"/>
    <w:rsid w:val="00DF2E96"/>
    <w:rsid w:val="00DF5E5C"/>
    <w:rsid w:val="00E22643"/>
    <w:rsid w:val="00E2638A"/>
    <w:rsid w:val="00E3046E"/>
    <w:rsid w:val="00E34D0D"/>
    <w:rsid w:val="00E35C2C"/>
    <w:rsid w:val="00E372D0"/>
    <w:rsid w:val="00E42255"/>
    <w:rsid w:val="00E50D73"/>
    <w:rsid w:val="00E54596"/>
    <w:rsid w:val="00E600A7"/>
    <w:rsid w:val="00E612C2"/>
    <w:rsid w:val="00E702DB"/>
    <w:rsid w:val="00E76BA1"/>
    <w:rsid w:val="00E82E2C"/>
    <w:rsid w:val="00EB48D4"/>
    <w:rsid w:val="00EC0BD2"/>
    <w:rsid w:val="00EC2BE9"/>
    <w:rsid w:val="00EE14A7"/>
    <w:rsid w:val="00EE2317"/>
    <w:rsid w:val="00EF3AC1"/>
    <w:rsid w:val="00F0690E"/>
    <w:rsid w:val="00F21D6C"/>
    <w:rsid w:val="00F27D61"/>
    <w:rsid w:val="00F33AAB"/>
    <w:rsid w:val="00F33C28"/>
    <w:rsid w:val="00F36C8D"/>
    <w:rsid w:val="00F40941"/>
    <w:rsid w:val="00F571D1"/>
    <w:rsid w:val="00F57386"/>
    <w:rsid w:val="00F57ADC"/>
    <w:rsid w:val="00F7268E"/>
    <w:rsid w:val="00F84DA7"/>
    <w:rsid w:val="00FB0B83"/>
    <w:rsid w:val="00FB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15C67"/>
  <w14:defaultImageDpi w14:val="32767"/>
  <w15:chartTrackingRefBased/>
  <w15:docId w15:val="{B04FF9E0-6F9C-ED4E-B5A7-D7D20E61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C6E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60" w:lineRule="atLeast"/>
      <w:jc w:val="both"/>
    </w:pPr>
    <w:rPr>
      <w:rFonts w:ascii="Arial" w:hAnsi="Arial" w:cs="Times New Roman"/>
      <w:sz w:val="22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C8B"/>
    <w:pPr>
      <w:keepNext/>
      <w:keepLines/>
      <w:spacing w:before="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E5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1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xtpara">
    <w:name w:val="Next para"/>
    <w:basedOn w:val="Normal"/>
    <w:qFormat/>
    <w:rsid w:val="00B865A4"/>
    <w:pPr>
      <w:ind w:firstLine="284"/>
    </w:pPr>
    <w:rPr>
      <w:rFonts w:eastAsia="Arial" w:cs="Arial"/>
      <w:szCs w:val="22"/>
    </w:rPr>
  </w:style>
  <w:style w:type="paragraph" w:customStyle="1" w:styleId="KL-normal">
    <w:name w:val="KL-normal"/>
    <w:basedOn w:val="Normal"/>
    <w:autoRedefine/>
    <w:qFormat/>
    <w:rsid w:val="008A5C6E"/>
    <w:rPr>
      <w:rFonts w:eastAsia="Calibri" w:cs="Calibri"/>
      <w:color w:val="000000"/>
      <w:szCs w:val="20"/>
      <w:u w:color="000000"/>
      <w:lang w:eastAsia="en-GB"/>
    </w:rPr>
  </w:style>
  <w:style w:type="paragraph" w:customStyle="1" w:styleId="KL-next-para">
    <w:name w:val="KL-next-para"/>
    <w:basedOn w:val="KL-normal"/>
    <w:autoRedefine/>
    <w:qFormat/>
    <w:rsid w:val="008A5C6E"/>
    <w:pPr>
      <w:ind w:firstLine="255"/>
    </w:pPr>
  </w:style>
  <w:style w:type="paragraph" w:customStyle="1" w:styleId="KL-heading-1">
    <w:name w:val="KL-heading-1"/>
    <w:basedOn w:val="KL-normal"/>
    <w:next w:val="KL-normal"/>
    <w:autoRedefine/>
    <w:qFormat/>
    <w:rsid w:val="00B42222"/>
    <w:pPr>
      <w:spacing w:before="120"/>
      <w:jc w:val="left"/>
    </w:pPr>
    <w:rPr>
      <w:i/>
      <w:u w:val="single"/>
    </w:rPr>
  </w:style>
  <w:style w:type="paragraph" w:customStyle="1" w:styleId="KL-quote">
    <w:name w:val="KL-quote"/>
    <w:basedOn w:val="KL-normal"/>
    <w:autoRedefine/>
    <w:qFormat/>
    <w:rsid w:val="00AA010F"/>
    <w:pPr>
      <w:ind w:left="521" w:right="565"/>
    </w:pPr>
    <w:rPr>
      <w:i/>
    </w:rPr>
  </w:style>
  <w:style w:type="paragraph" w:customStyle="1" w:styleId="KL-Q">
    <w:name w:val="KL-Q"/>
    <w:basedOn w:val="Normal"/>
    <w:qFormat/>
    <w:rsid w:val="00AC7034"/>
    <w:pPr>
      <w:ind w:left="426" w:hanging="426"/>
    </w:pPr>
  </w:style>
  <w:style w:type="paragraph" w:styleId="Header">
    <w:name w:val="header"/>
    <w:basedOn w:val="Normal"/>
    <w:link w:val="HeaderChar"/>
    <w:uiPriority w:val="99"/>
    <w:unhideWhenUsed/>
    <w:rsid w:val="00BF0C1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C1C"/>
    <w:rPr>
      <w:rFonts w:ascii="Arial" w:hAnsi="Arial" w:cs="Times New Roman"/>
      <w:sz w:val="22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0C1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C1C"/>
    <w:rPr>
      <w:rFonts w:ascii="Arial" w:hAnsi="Arial" w:cs="Times New Roman"/>
      <w:sz w:val="22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40C8B"/>
    <w:rPr>
      <w:rFonts w:asciiTheme="majorHAnsi" w:eastAsiaTheme="majorEastAsia" w:hAnsiTheme="majorHAnsi" w:cstheme="majorBidi"/>
      <w:color w:val="2F5496" w:themeColor="accent1" w:themeShade="BF"/>
      <w:sz w:val="32"/>
      <w:szCs w:val="32"/>
      <w:bdr w:val="nil"/>
      <w:lang w:val="en-US"/>
    </w:rPr>
  </w:style>
  <w:style w:type="paragraph" w:customStyle="1" w:styleId="Point">
    <w:name w:val="Point"/>
    <w:basedOn w:val="Normal"/>
    <w:qFormat/>
    <w:rsid w:val="00455143"/>
    <w:pPr>
      <w:ind w:hanging="425"/>
    </w:pPr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F6E55"/>
    <w:rPr>
      <w:rFonts w:asciiTheme="majorHAnsi" w:eastAsiaTheme="majorEastAsia" w:hAnsiTheme="majorHAnsi" w:cstheme="majorBidi"/>
      <w:color w:val="2F5496" w:themeColor="accent1" w:themeShade="BF"/>
      <w:sz w:val="26"/>
      <w:szCs w:val="26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4551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55143"/>
    <w:rPr>
      <w:color w:val="605E5C"/>
      <w:shd w:val="clear" w:color="auto" w:fill="E1DFDD"/>
    </w:rPr>
  </w:style>
  <w:style w:type="paragraph" w:customStyle="1" w:styleId="Figure">
    <w:name w:val="Figure"/>
    <w:basedOn w:val="Normal"/>
    <w:next w:val="Caption"/>
    <w:qFormat/>
    <w:rsid w:val="00D352D3"/>
    <w:pPr>
      <w:spacing w:line="240" w:lineRule="atLeast"/>
      <w:jc w:val="center"/>
    </w:pPr>
  </w:style>
  <w:style w:type="paragraph" w:styleId="ListParagraph">
    <w:name w:val="List Paragraph"/>
    <w:basedOn w:val="Normal"/>
    <w:uiPriority w:val="34"/>
    <w:qFormat/>
    <w:rsid w:val="00DF5E5C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702DB"/>
    <w:pPr>
      <w:spacing w:after="200"/>
    </w:pPr>
    <w:rPr>
      <w:i/>
      <w:iCs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7161D4"/>
    <w:rPr>
      <w:rFonts w:asciiTheme="majorHAnsi" w:eastAsiaTheme="majorEastAsia" w:hAnsiTheme="majorHAnsi" w:cstheme="majorBidi"/>
      <w:color w:val="1F3763" w:themeColor="accent1" w:themeShade="7F"/>
      <w:bdr w:val="ni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E396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3096C"/>
    <w:rPr>
      <w:rFonts w:ascii="Arial" w:hAnsi="Arial" w:cs="Times New Roman"/>
      <w:sz w:val="22"/>
      <w:bdr w:val="nil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738D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738D"/>
    <w:rPr>
      <w:rFonts w:ascii="Arial" w:hAnsi="Arial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7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ap.hep.ph.ic.ac.uk/trac/wi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fed.cclrc.ac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cap.hep.ph.ic.ac.uk/trac/wiki/Research/DesignStudy/ITRF/Meetings/202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cap.hep.ph.ic.ac.uk/trac/raw-attachment/wiki/Communication/Notes/CCAP-TN-10-LhARA-ITRF-proposal-annex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A6C7F4A4AB74096FC0EC2FFBCDC1B" ma:contentTypeVersion="4" ma:contentTypeDescription="Create a new document." ma:contentTypeScope="" ma:versionID="ae49459f8d36ac24e5b40f725d622ad4">
  <xsd:schema xmlns:xsd="http://www.w3.org/2001/XMLSchema" xmlns:xs="http://www.w3.org/2001/XMLSchema" xmlns:p="http://schemas.microsoft.com/office/2006/metadata/properties" xmlns:ns2="d2c9d8e6-4447-41a5-9589-9fed66499f9c" targetNamespace="http://schemas.microsoft.com/office/2006/metadata/properties" ma:root="true" ma:fieldsID="7ac636e76d545aa2779bc08ab2e67d1b" ns2:_="">
    <xsd:import namespace="d2c9d8e6-4447-41a5-9589-9fed66499f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d8e6-4447-41a5-9589-9fed66499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196779-0A7E-4638-B858-24715B62A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9d8e6-4447-41a5-9589-9fed66499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A4293E-1239-4112-81DD-C3E37D147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427C9-C5CF-4AAB-ACEC-E7E2855C88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739764-1B98-1845-8037-77E13409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Kenneth R</dc:creator>
  <cp:keywords/>
  <dc:description/>
  <cp:lastModifiedBy>Kenneth Long</cp:lastModifiedBy>
  <cp:revision>4</cp:revision>
  <cp:lastPrinted>2022-05-10T15:40:00Z</cp:lastPrinted>
  <dcterms:created xsi:type="dcterms:W3CDTF">2022-05-10T16:19:00Z</dcterms:created>
  <dcterms:modified xsi:type="dcterms:W3CDTF">2022-10-18T20:04:00Z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0x01010085CA6C7F4A4AB74096FC0EC2FFBCDC1B</vt:lpwstr>
  </property>
</Properties>
</file>